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版本号：SXGLZFCG2025-007号20250313001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西延高铁对铜川经济社会发展影响战略研究项目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SXGLZFCG2025-007号</w:t>
      </w:r>
      <w:r>
        <w:br/>
      </w:r>
      <w:r>
        <w:br/>
      </w:r>
      <w:r>
        <w:br/>
      </w:r>
    </w:p>
    <w:p>
      <w:pPr>
        <w:pStyle w:val="null3"/>
        <w:jc w:val="center"/>
        <w:outlineLvl w:val="2"/>
      </w:pPr>
      <w:r>
        <w:rPr>
          <w:rFonts w:ascii="仿宋_GB2312" w:hAnsi="仿宋_GB2312" w:cs="仿宋_GB2312" w:eastAsia="仿宋_GB2312"/>
          <w:sz w:val="28"/>
          <w:b/>
        </w:rPr>
        <w:t>铜川市铁路建设办公室</w:t>
      </w:r>
    </w:p>
    <w:p>
      <w:pPr>
        <w:pStyle w:val="null3"/>
        <w:jc w:val="center"/>
        <w:outlineLvl w:val="2"/>
      </w:pPr>
      <w:r>
        <w:rPr>
          <w:rFonts w:ascii="仿宋_GB2312" w:hAnsi="仿宋_GB2312" w:cs="仿宋_GB2312" w:eastAsia="仿宋_GB2312"/>
          <w:sz w:val="28"/>
          <w:b/>
        </w:rPr>
        <w:t>陕西公立工程项目管理咨询有限公司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2025年03月13日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陕西公立工程项目管理咨询有限公司</w:t>
      </w:r>
      <w:r>
        <w:rPr>
          <w:rFonts w:ascii="仿宋_GB2312" w:hAnsi="仿宋_GB2312" w:cs="仿宋_GB2312" w:eastAsia="仿宋_GB2312"/>
        </w:rPr>
        <w:t>（以下简称“代理机构”）受</w:t>
      </w:r>
      <w:r>
        <w:rPr>
          <w:rFonts w:ascii="仿宋_GB2312" w:hAnsi="仿宋_GB2312" w:cs="仿宋_GB2312" w:eastAsia="仿宋_GB2312"/>
        </w:rPr>
        <w:t>铜川市铁路建设办公室</w:t>
      </w:r>
      <w:r>
        <w:rPr>
          <w:rFonts w:ascii="仿宋_GB2312" w:hAnsi="仿宋_GB2312" w:cs="仿宋_GB2312" w:eastAsia="仿宋_GB2312"/>
        </w:rPr>
        <w:t>委托，拟对</w:t>
      </w:r>
      <w:r>
        <w:rPr>
          <w:rFonts w:ascii="仿宋_GB2312" w:hAnsi="仿宋_GB2312" w:cs="仿宋_GB2312" w:eastAsia="仿宋_GB2312"/>
        </w:rPr>
        <w:t>西延高铁对铜川经济社会发展影响战略研究项目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SXGLZFCG2025-007号</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西延高铁对铜川经济社会发展影响战略研究项目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西延高铁对铜川经济社会发展影响战略研究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采购包1（西延高铁对铜川经济社会发展影响战略研究项目）：属于专门面向中小企业采购。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1、合格供应商：具有独立承担民事责任能力的法人、其他组织或自然人，并出具合法有效的营业执 照或事业单位法人证书等国家规定的相关证明，自然人参与的提供其身份证明；</w:t>
      </w:r>
    </w:p>
    <w:p>
      <w:pPr>
        <w:pStyle w:val="null3"/>
      </w:pPr>
      <w:r>
        <w:rPr>
          <w:rFonts w:ascii="仿宋_GB2312" w:hAnsi="仿宋_GB2312" w:cs="仿宋_GB2312" w:eastAsia="仿宋_GB2312"/>
        </w:rPr>
        <w:t>2、授权委托书：法定代表人参加会议时，提供本人身份证；授权代表参加会议时，提供法定代表人 授权书和被授权人身份证；</w:t>
      </w:r>
    </w:p>
    <w:p>
      <w:pPr>
        <w:pStyle w:val="null3"/>
      </w:pPr>
      <w:r>
        <w:rPr>
          <w:rFonts w:ascii="仿宋_GB2312" w:hAnsi="仿宋_GB2312" w:cs="仿宋_GB2312" w:eastAsia="仿宋_GB2312"/>
        </w:rPr>
        <w:t>3、供应商信誉：供应商不得为“信用中国”网站（www.creditchina.gov.cn）中列入失信被执行人 和重大税收违法失信主体名单的供应商，不得为中国政府采购网（www.ccgp.go v.cn）政府采购严重违法失信行为记录名单中被财政部门禁止参加政府采购活动的 供应商；</w:t>
      </w:r>
    </w:p>
    <w:p>
      <w:pPr>
        <w:pStyle w:val="null3"/>
      </w:pPr>
      <w:r>
        <w:rPr>
          <w:rFonts w:ascii="仿宋_GB2312" w:hAnsi="仿宋_GB2312" w:cs="仿宋_GB2312" w:eastAsia="仿宋_GB2312"/>
        </w:rPr>
        <w:t>4、财务状况报告：供应商提供2022年至今任意一年的财务审计报告(成立时间至提交响应文件截止时 间不足年的可提供成立后任意时段的资产负债表)，或其基本存款账户开户银行出 具的资信或资金证明(复印件加盖供应商公章)；</w:t>
      </w:r>
    </w:p>
    <w:p>
      <w:pPr>
        <w:pStyle w:val="null3"/>
      </w:pPr>
      <w:r>
        <w:rPr>
          <w:rFonts w:ascii="仿宋_GB2312" w:hAnsi="仿宋_GB2312" w:cs="仿宋_GB2312" w:eastAsia="仿宋_GB2312"/>
        </w:rPr>
        <w:t>5、履行能力：具有履行合同所必需的设备和专业技术能力，提供证明材料或书面承诺并加盖公章；</w:t>
      </w:r>
    </w:p>
    <w:p>
      <w:pPr>
        <w:pStyle w:val="null3"/>
      </w:pPr>
      <w:r>
        <w:rPr>
          <w:rFonts w:ascii="仿宋_GB2312" w:hAnsi="仿宋_GB2312" w:cs="仿宋_GB2312" w:eastAsia="仿宋_GB2312"/>
        </w:rPr>
        <w:t>6、无重大违法记录声明：参加政府采购活动近三年内，在经营活动中没有重大违法记录，提供书面声明；</w:t>
      </w:r>
    </w:p>
    <w:p>
      <w:pPr>
        <w:pStyle w:val="null3"/>
      </w:pPr>
      <w:r>
        <w:rPr>
          <w:rFonts w:ascii="仿宋_GB2312" w:hAnsi="仿宋_GB2312" w:cs="仿宋_GB2312" w:eastAsia="仿宋_GB2312"/>
        </w:rPr>
        <w:t>7、税收缴纳证明：提供响应文件递交截止时间前6个月内任意1个月已缴纳完税凭证（任意税种）或 税务机关开具的完税证明（任意税种）；</w:t>
      </w:r>
    </w:p>
    <w:p>
      <w:pPr>
        <w:pStyle w:val="null3"/>
      </w:pPr>
      <w:r>
        <w:rPr>
          <w:rFonts w:ascii="仿宋_GB2312" w:hAnsi="仿宋_GB2312" w:cs="仿宋_GB2312" w:eastAsia="仿宋_GB2312"/>
        </w:rPr>
        <w:t>8、社会保障资金缴纳证明：提供响应文件递交截止时间前6个月内任意1个月已缴存的任意时段的社会保障资 金缴存单据或社保机构开具的社会保险参保缴费情况证明；</w:t>
      </w:r>
    </w:p>
    <w:p>
      <w:pPr>
        <w:pStyle w:val="null3"/>
      </w:pPr>
      <w:r>
        <w:rPr>
          <w:rFonts w:ascii="仿宋_GB2312" w:hAnsi="仿宋_GB2312" w:cs="仿宋_GB2312" w:eastAsia="仿宋_GB2312"/>
        </w:rPr>
        <w:t>9、资质证书：供应商应具备城乡规划乙级及以上资质，且在有效期内；拟委派的项目负责人应具备高级（含副高）以上技术职称；</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铜川市铁路建设办公室</w:t>
      </w:r>
    </w:p>
    <w:p>
      <w:pPr>
        <w:pStyle w:val="null3"/>
      </w:pPr>
      <w:r>
        <w:rPr>
          <w:rFonts w:ascii="仿宋_GB2312" w:hAnsi="仿宋_GB2312" w:cs="仿宋_GB2312" w:eastAsia="仿宋_GB2312"/>
        </w:rPr>
        <w:t xml:space="preserve"> 地址： </w:t>
      </w:r>
      <w:r>
        <w:rPr>
          <w:rFonts w:ascii="仿宋_GB2312" w:hAnsi="仿宋_GB2312" w:cs="仿宋_GB2312" w:eastAsia="仿宋_GB2312"/>
        </w:rPr>
        <w:t>铜川市新区正阳路9号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727031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铜川市铁路建设办公室经办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17829192511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陕西公立工程项目管理咨询有限公司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陕西省铜川市王益区七一路25号工行3楼313室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0919-2182986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铜川市财政局政府采购管理科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郭老师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0919-3281620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采购代理机构参照国家计委关于印发《招标代理服务收费管理暂行办法》的通知（计价格（2002)1980号）、《国家发展和改革委员会办公厅关于招标代理服务收费有关问题的通知》（发改办价格（2003)857号）规定收取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铜川市铁路建设办公室</w:t>
      </w:r>
      <w:r>
        <w:rPr>
          <w:rFonts w:ascii="仿宋_GB2312" w:hAnsi="仿宋_GB2312" w:cs="仿宋_GB2312" w:eastAsia="仿宋_GB2312"/>
        </w:rPr>
        <w:t>和</w:t>
      </w:r>
      <w:r>
        <w:rPr>
          <w:rFonts w:ascii="仿宋_GB2312" w:hAnsi="仿宋_GB2312" w:cs="仿宋_GB2312" w:eastAsia="仿宋_GB2312"/>
        </w:rPr>
        <w:t>陕西公立工程项目管理咨询有限公司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铜川市铁路建设办公室</w:t>
      </w:r>
      <w:r>
        <w:rPr>
          <w:rFonts w:ascii="仿宋_GB2312" w:hAnsi="仿宋_GB2312" w:cs="仿宋_GB2312" w:eastAsia="仿宋_GB2312"/>
        </w:rPr>
        <w:t>负责解释。除上述磋商文件内容，其他内容由</w:t>
      </w:r>
      <w:r>
        <w:rPr>
          <w:rFonts w:ascii="仿宋_GB2312" w:hAnsi="仿宋_GB2312" w:cs="仿宋_GB2312" w:eastAsia="仿宋_GB2312"/>
        </w:rPr>
        <w:t>陕西公立工程项目管理咨询有限公司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铜川市铁路建设办公室</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陕西公立工程项目管理咨询有限公司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按照双方最终签订的服务合同执行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陕西公立工程项目管理咨询有限公司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陕西公立工程项目管理咨询有限公司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陕西公立工程项目管理咨询有限公司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联系人：王工</w:t>
      </w:r>
    </w:p>
    <w:p>
      <w:pPr>
        <w:pStyle w:val="null3"/>
      </w:pPr>
      <w:r>
        <w:rPr>
          <w:rFonts w:ascii="仿宋_GB2312" w:hAnsi="仿宋_GB2312" w:cs="仿宋_GB2312" w:eastAsia="仿宋_GB2312"/>
        </w:rPr>
        <w:t>联系电话：0919-2182986</w:t>
      </w:r>
    </w:p>
    <w:p>
      <w:pPr>
        <w:pStyle w:val="null3"/>
      </w:pPr>
      <w:r>
        <w:rPr>
          <w:rFonts w:ascii="仿宋_GB2312" w:hAnsi="仿宋_GB2312" w:cs="仿宋_GB2312" w:eastAsia="仿宋_GB2312"/>
        </w:rPr>
        <w:t>地址：陕西省铜川市王益区七一路25号工行3楼313室</w:t>
      </w:r>
    </w:p>
    <w:p>
      <w:pPr>
        <w:pStyle w:val="null3"/>
      </w:pPr>
      <w:r>
        <w:rPr>
          <w:rFonts w:ascii="仿宋_GB2312" w:hAnsi="仿宋_GB2312" w:cs="仿宋_GB2312" w:eastAsia="仿宋_GB2312"/>
        </w:rPr>
        <w:t>邮编：727000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西延高铁对铜川经济社会发展的影响研究</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500,000.00</w:t>
      </w:r>
    </w:p>
    <w:p>
      <w:pPr>
        <w:pStyle w:val="null3"/>
      </w:pPr>
      <w:r>
        <w:rPr>
          <w:rFonts w:ascii="仿宋_GB2312" w:hAnsi="仿宋_GB2312" w:cs="仿宋_GB2312" w:eastAsia="仿宋_GB2312"/>
        </w:rPr>
        <w:t>采购包最高限价（元）: 500,000.00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西延高铁对铜川经济社会发展影响战略研究费用</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标的名称：西延高铁对铜川经济社会发展影响战略研究费用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tc>
        <w:tc>
          <w:tcPr>
            <w:tcW w:type="dxa" w:w="2076"/>
          </w:tcPr>
          <w:p>
            <w:pPr>
              <w:pStyle w:val="null3"/>
              <w:ind w:firstLine="562"/>
              <w:jc w:val="both"/>
            </w:pPr>
            <w:r>
              <w:rPr>
                <w:rFonts w:ascii="仿宋_GB2312" w:hAnsi="仿宋_GB2312" w:cs="仿宋_GB2312" w:eastAsia="仿宋_GB2312"/>
                <w:sz w:val="28"/>
                <w:b/>
              </w:rPr>
              <w:t>一、研究背景与意义</w:t>
            </w:r>
          </w:p>
          <w:p>
            <w:pPr>
              <w:pStyle w:val="null3"/>
              <w:numPr>
                <w:ilvl w:val="0"/>
                <w:numId w:val="1"/>
              </w:numPr>
              <w:spacing w:before="120" w:after="60"/>
              <w:jc w:val="both"/>
            </w:pPr>
            <w:r>
              <w:rPr>
                <w:rFonts w:ascii="仿宋_GB2312" w:hAnsi="仿宋_GB2312" w:cs="仿宋_GB2312" w:eastAsia="仿宋_GB2312"/>
                <w:sz w:val="28"/>
                <w:b/>
              </w:rPr>
              <w:t>研究背景</w:t>
            </w:r>
          </w:p>
          <w:p>
            <w:pPr>
              <w:pStyle w:val="null3"/>
              <w:ind w:firstLine="560"/>
              <w:jc w:val="both"/>
            </w:pPr>
            <w:r>
              <w:rPr>
                <w:rFonts w:ascii="仿宋_GB2312" w:hAnsi="仿宋_GB2312" w:cs="仿宋_GB2312" w:eastAsia="仿宋_GB2312"/>
                <w:sz w:val="28"/>
              </w:rPr>
              <w:t>一是区域协调发展进入新阶段</w:t>
            </w:r>
            <w:r>
              <w:rPr>
                <w:rFonts w:ascii="仿宋_GB2312" w:hAnsi="仿宋_GB2312" w:cs="仿宋_GB2312" w:eastAsia="仿宋_GB2312"/>
                <w:sz w:val="28"/>
              </w:rPr>
              <w:t>。西安至延安高速铁路是陕北革命老区的首条高铁，是国家高速铁路网包（银）海高速铁路通道的重要组成部分，与正在建设的西渝高铁共同形成南北大通道，是陕西省</w:t>
            </w:r>
            <w:r>
              <w:rPr>
                <w:rFonts w:ascii="仿宋_GB2312" w:hAnsi="仿宋_GB2312" w:cs="仿宋_GB2312" w:eastAsia="仿宋_GB2312"/>
                <w:sz w:val="28"/>
              </w:rPr>
              <w:t>“米”字型高铁网主骨架的重要构成。西延高铁的建设不仅将提升陕西省内交通便捷性，还将实现关中、陕北、陕南三大区域的贯通，对西部大开发战略的实施起到重要推动作用。</w:t>
            </w:r>
            <w:r>
              <w:rPr>
                <w:rFonts w:ascii="仿宋_GB2312" w:hAnsi="仿宋_GB2312" w:cs="仿宋_GB2312" w:eastAsia="仿宋_GB2312"/>
                <w:sz w:val="28"/>
              </w:rPr>
              <w:t>未来随着西安城市辐射能级的进一步提升，铜川作为西安都市圈北部门户城市，可充分利用区位优越、交通便捷、产业基础好、地租低廉、环境宜居、文化底蕴深厚等比较优势，深度融入区域发展格局。</w:t>
            </w:r>
          </w:p>
          <w:p>
            <w:pPr>
              <w:pStyle w:val="null3"/>
              <w:ind w:firstLine="560"/>
              <w:jc w:val="both"/>
            </w:pPr>
            <w:r>
              <w:rPr>
                <w:rFonts w:ascii="仿宋_GB2312" w:hAnsi="仿宋_GB2312" w:cs="仿宋_GB2312" w:eastAsia="仿宋_GB2312"/>
                <w:sz w:val="28"/>
              </w:rPr>
              <w:t>二是西延高铁开通促进融入国家发展大格局</w:t>
            </w:r>
            <w:r>
              <w:rPr>
                <w:rFonts w:ascii="仿宋_GB2312" w:hAnsi="仿宋_GB2312" w:cs="仿宋_GB2312" w:eastAsia="仿宋_GB2312"/>
                <w:sz w:val="28"/>
              </w:rPr>
              <w:t>。西延高铁在铜川设铜川站、铜川北站、宜君站三个站点，铜川与西安运行时间将缩短到半小时以内，极大改善铜川在西安都市圈中的时空格局，并使铜川真正</w:t>
            </w:r>
            <w:r>
              <w:rPr>
                <w:rFonts w:ascii="仿宋_GB2312" w:hAnsi="仿宋_GB2312" w:cs="仿宋_GB2312" w:eastAsia="仿宋_GB2312"/>
                <w:sz w:val="28"/>
              </w:rPr>
              <w:t>融入</w:t>
            </w:r>
            <w:r>
              <w:rPr>
                <w:rFonts w:ascii="仿宋_GB2312" w:hAnsi="仿宋_GB2312" w:cs="仿宋_GB2312" w:eastAsia="仿宋_GB2312"/>
                <w:sz w:val="28"/>
              </w:rPr>
              <w:t>国家高铁网络之中。在高速、高铁双通道支撑下，渭北城镇发展带将基本形成，铜川将进一步强化与西安在人口流动、产业承接、服务共享等方面的链接能力，使铜川迈入深度融入西安都市圈、链接大区的新发展阶段。</w:t>
            </w:r>
          </w:p>
          <w:p>
            <w:pPr>
              <w:pStyle w:val="null3"/>
              <w:numPr>
                <w:ilvl w:val="0"/>
                <w:numId w:val="1"/>
              </w:numPr>
              <w:spacing w:before="120" w:after="60"/>
              <w:jc w:val="both"/>
            </w:pPr>
            <w:r>
              <w:rPr>
                <w:rFonts w:ascii="仿宋_GB2312" w:hAnsi="仿宋_GB2312" w:cs="仿宋_GB2312" w:eastAsia="仿宋_GB2312"/>
                <w:sz w:val="28"/>
                <w:b/>
              </w:rPr>
              <w:t>研究意义</w:t>
            </w:r>
          </w:p>
          <w:p>
            <w:pPr>
              <w:pStyle w:val="null3"/>
              <w:ind w:firstLine="560"/>
              <w:jc w:val="both"/>
            </w:pPr>
            <w:r>
              <w:rPr>
                <w:rFonts w:ascii="仿宋_GB2312" w:hAnsi="仿宋_GB2312" w:cs="仿宋_GB2312" w:eastAsia="仿宋_GB2312"/>
                <w:sz w:val="28"/>
              </w:rPr>
              <w:t>一是</w:t>
            </w:r>
            <w:r>
              <w:rPr>
                <w:rFonts w:ascii="仿宋_GB2312" w:hAnsi="仿宋_GB2312" w:cs="仿宋_GB2312" w:eastAsia="仿宋_GB2312"/>
                <w:sz w:val="28"/>
              </w:rPr>
              <w:t>精准识别西延高铁开通对中长期发展的积极影响与潜在机遇，为铜川持续转型发展提供新依据</w:t>
            </w:r>
            <w:r>
              <w:rPr>
                <w:rFonts w:ascii="仿宋_GB2312" w:hAnsi="仿宋_GB2312" w:cs="仿宋_GB2312" w:eastAsia="仿宋_GB2312"/>
                <w:sz w:val="28"/>
              </w:rPr>
              <w:t>。</w:t>
            </w:r>
            <w:r>
              <w:rPr>
                <w:rFonts w:ascii="仿宋_GB2312" w:hAnsi="仿宋_GB2312" w:cs="仿宋_GB2312" w:eastAsia="仿宋_GB2312"/>
                <w:sz w:val="28"/>
              </w:rPr>
              <w:t>立足铜川区域与资源本底优势，研究高铁建设对经济产业、人口发展、公共服务、交通组织等多方面的潜在影响。结合西安都市</w:t>
            </w:r>
            <w:r>
              <w:rPr>
                <w:rFonts w:ascii="仿宋_GB2312" w:hAnsi="仿宋_GB2312" w:cs="仿宋_GB2312" w:eastAsia="仿宋_GB2312"/>
                <w:sz w:val="28"/>
              </w:rPr>
              <w:t>圈</w:t>
            </w:r>
            <w:r>
              <w:rPr>
                <w:rFonts w:ascii="仿宋_GB2312" w:hAnsi="仿宋_GB2312" w:cs="仿宋_GB2312" w:eastAsia="仿宋_GB2312"/>
                <w:sz w:val="28"/>
              </w:rPr>
              <w:t>高铁客流特征，提出导入新经济新业态的方向，促进铜川的产业转型与服务提升。</w:t>
            </w:r>
          </w:p>
          <w:p>
            <w:pPr>
              <w:pStyle w:val="null3"/>
              <w:ind w:firstLine="560"/>
              <w:jc w:val="both"/>
            </w:pPr>
            <w:r>
              <w:rPr>
                <w:rFonts w:ascii="仿宋_GB2312" w:hAnsi="仿宋_GB2312" w:cs="仿宋_GB2312" w:eastAsia="仿宋_GB2312"/>
                <w:sz w:val="28"/>
              </w:rPr>
              <w:t>二是</w:t>
            </w:r>
            <w:r>
              <w:rPr>
                <w:rFonts w:ascii="仿宋_GB2312" w:hAnsi="仿宋_GB2312" w:cs="仿宋_GB2312" w:eastAsia="仿宋_GB2312"/>
                <w:sz w:val="28"/>
              </w:rPr>
              <w:t>整体研究基于铜川基础的综合交通网络构建，为铜川提升全域资源要素整合能力提供新契机</w:t>
            </w:r>
            <w:r>
              <w:rPr>
                <w:rFonts w:ascii="仿宋_GB2312" w:hAnsi="仿宋_GB2312" w:cs="仿宋_GB2312" w:eastAsia="仿宋_GB2312"/>
                <w:sz w:val="28"/>
              </w:rPr>
              <w:t>。</w:t>
            </w:r>
            <w:r>
              <w:rPr>
                <w:rFonts w:ascii="仿宋_GB2312" w:hAnsi="仿宋_GB2312" w:cs="仿宋_GB2312" w:eastAsia="仿宋_GB2312"/>
                <w:sz w:val="28"/>
              </w:rPr>
              <w:t>发挥高铁链接区域、轨道网络覆盖全域的优势条件，通过优化客货运枢纽和不同交通方式的衔接组织方案，促进全域资源的开发利用，提升中心城区发展能级。</w:t>
            </w:r>
          </w:p>
          <w:p>
            <w:pPr>
              <w:pStyle w:val="null3"/>
              <w:ind w:firstLine="560"/>
              <w:jc w:val="both"/>
            </w:pPr>
            <w:r>
              <w:rPr>
                <w:rFonts w:ascii="仿宋_GB2312" w:hAnsi="仿宋_GB2312" w:cs="仿宋_GB2312" w:eastAsia="仿宋_GB2312"/>
                <w:sz w:val="28"/>
              </w:rPr>
              <w:t>三是</w:t>
            </w:r>
            <w:r>
              <w:rPr>
                <w:rFonts w:ascii="仿宋_GB2312" w:hAnsi="仿宋_GB2312" w:cs="仿宋_GB2312" w:eastAsia="仿宋_GB2312"/>
                <w:sz w:val="28"/>
              </w:rPr>
              <w:t>深入分析高铁站点对城市空间结构的影响，为铜川优化城市功能布局提供新思路</w:t>
            </w:r>
            <w:r>
              <w:rPr>
                <w:rFonts w:ascii="仿宋_GB2312" w:hAnsi="仿宋_GB2312" w:cs="仿宋_GB2312" w:eastAsia="仿宋_GB2312"/>
                <w:sz w:val="28"/>
              </w:rPr>
              <w:t>。</w:t>
            </w:r>
            <w:r>
              <w:rPr>
                <w:rFonts w:ascii="仿宋_GB2312" w:hAnsi="仿宋_GB2312" w:cs="仿宋_GB2312" w:eastAsia="仿宋_GB2312"/>
                <w:sz w:val="28"/>
              </w:rPr>
              <w:t>研究城市内部的机会区域和土地开发利用方向，实现高铁与城市协同发展，推动土地资源优化配置。</w:t>
            </w:r>
          </w:p>
          <w:p>
            <w:pPr>
              <w:pStyle w:val="null3"/>
              <w:numPr>
                <w:ilvl w:val="0"/>
                <w:numId w:val="1"/>
              </w:numPr>
              <w:jc w:val="both"/>
            </w:pPr>
            <w:r>
              <w:rPr>
                <w:rFonts w:ascii="仿宋_GB2312" w:hAnsi="仿宋_GB2312" w:cs="仿宋_GB2312" w:eastAsia="仿宋_GB2312"/>
                <w:sz w:val="28"/>
                <w:b/>
              </w:rPr>
              <w:t>二、主要任务</w:t>
            </w:r>
          </w:p>
          <w:p>
            <w:pPr>
              <w:pStyle w:val="null3"/>
              <w:numPr>
                <w:ilvl w:val="0"/>
                <w:numId w:val="1"/>
              </w:numPr>
              <w:spacing w:before="120" w:after="60"/>
              <w:jc w:val="both"/>
            </w:pPr>
            <w:r>
              <w:rPr>
                <w:rFonts w:ascii="仿宋_GB2312" w:hAnsi="仿宋_GB2312" w:cs="仿宋_GB2312" w:eastAsia="仿宋_GB2312"/>
                <w:sz w:val="28"/>
                <w:b/>
              </w:rPr>
              <w:t>（一）开展高铁对城市发展影响的案例研究</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1）研究国内较早开通高铁对沿线中心城市、中小城市在人口集聚、经济发展动力方面的具体影响，深入分析其背后的原因，提出对铜川发展的启示。</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2）研究高铁开通对中小城市旅游业、商贸服务业、商务金融业等第三产业发展的影响，深入分析其背后的原因，提出对铜川发展的启示。</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3）研究高铁开通对中小城市制造业、科技创新发展等方面的影响，深入分析其背后的原因，提出对铜川发展的启示。</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4）研究高铁站周边地区在功能承载与区域联动方面的成功经验与做法，深入分析其背后的原因，提出对铜川发展的启示。</w:t>
            </w:r>
          </w:p>
          <w:p>
            <w:pPr>
              <w:pStyle w:val="null3"/>
              <w:numPr>
                <w:ilvl w:val="0"/>
                <w:numId w:val="1"/>
              </w:numPr>
              <w:spacing w:before="120" w:after="60"/>
              <w:jc w:val="both"/>
            </w:pPr>
            <w:r>
              <w:rPr>
                <w:rFonts w:ascii="仿宋_GB2312" w:hAnsi="仿宋_GB2312" w:cs="仿宋_GB2312" w:eastAsia="仿宋_GB2312"/>
                <w:sz w:val="28"/>
                <w:b/>
              </w:rPr>
              <w:t>（二）高铁对铜川区域格局与人口流动的影响</w:t>
            </w:r>
          </w:p>
          <w:p>
            <w:pPr>
              <w:pStyle w:val="null3"/>
              <w:ind w:firstLine="560"/>
              <w:jc w:val="both"/>
            </w:pPr>
            <w:r>
              <w:rPr>
                <w:rFonts w:ascii="仿宋_GB2312" w:hAnsi="仿宋_GB2312" w:cs="仿宋_GB2312" w:eastAsia="仿宋_GB2312"/>
                <w:sz w:val="28"/>
              </w:rPr>
              <w:t>进一步研究西延高铁开通对铜川融入西安都市圈的影响，重点是高铁开通对铜川与西安之间的时空改变，一方面具体分析对人口流动可能产生的</w:t>
            </w:r>
            <w:r>
              <w:rPr>
                <w:rFonts w:ascii="仿宋_GB2312" w:hAnsi="仿宋_GB2312" w:cs="仿宋_GB2312" w:eastAsia="仿宋_GB2312"/>
                <w:sz w:val="28"/>
              </w:rPr>
              <w:t>“虹吸”风险，另一方面分析高铁可能带来区域服务人口的影响，对城市经济活力和新消费需求。</w:t>
            </w:r>
          </w:p>
          <w:p>
            <w:pPr>
              <w:pStyle w:val="null3"/>
              <w:numPr>
                <w:ilvl w:val="0"/>
                <w:numId w:val="1"/>
              </w:numPr>
              <w:spacing w:before="120" w:after="60"/>
              <w:jc w:val="both"/>
            </w:pPr>
            <w:r>
              <w:rPr>
                <w:rFonts w:ascii="仿宋_GB2312" w:hAnsi="仿宋_GB2312" w:cs="仿宋_GB2312" w:eastAsia="仿宋_GB2312"/>
                <w:sz w:val="28"/>
                <w:b/>
              </w:rPr>
              <w:t>（三）高铁对铜川产业与创新功能的影响</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1）研究铜川当前在西安都市圈内产业的具体分工与基础优势，进一步分析高铁开通对铜川产业发展，都市圈产业分工协作的影响。</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2）基于现状铜川与西安创新人才的联系特点，分析高铁开通对铜川吸引西安创新人才与平台建设方面的影响和潜力。</w:t>
            </w:r>
          </w:p>
          <w:p>
            <w:pPr>
              <w:pStyle w:val="null3"/>
              <w:numPr>
                <w:ilvl w:val="0"/>
                <w:numId w:val="1"/>
              </w:numPr>
              <w:spacing w:before="120" w:after="60"/>
              <w:jc w:val="both"/>
            </w:pPr>
            <w:r>
              <w:rPr>
                <w:rFonts w:ascii="仿宋_GB2312" w:hAnsi="仿宋_GB2312" w:cs="仿宋_GB2312" w:eastAsia="仿宋_GB2312"/>
                <w:sz w:val="28"/>
                <w:b/>
              </w:rPr>
              <w:t>（四）高铁对铜川服务业功能的影响</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1）研究高铁客流量对铜川酒店、会议与餐饮等功能有哪些新的需求，当前铜川还存在哪些突出的短板。</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2）分析当前铜川在医养避暑方面的优势条件，研究高铁开通对铜川打造具有区域吸引力的医养避暑胜地的支撑作用。</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3）分析西安在文体赛事等重大活动组织方面面临的问题，分析高铁开通使得铜川具备辅助西安，承办特色文体赛事与会议活动的可行性。</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4）分析高铁对铜川发展大型商业、金融、商务等服务功能的影响。</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5）借鉴案例城市经验，分析高铁开通对助推铜川全域农产品抢“鲜”上市，带动乡村地区发展的可行性。</w:t>
            </w:r>
          </w:p>
          <w:p>
            <w:pPr>
              <w:pStyle w:val="null3"/>
              <w:numPr>
                <w:ilvl w:val="0"/>
                <w:numId w:val="1"/>
              </w:numPr>
              <w:spacing w:before="120" w:after="60"/>
              <w:jc w:val="both"/>
            </w:pPr>
            <w:r>
              <w:rPr>
                <w:rFonts w:ascii="仿宋_GB2312" w:hAnsi="仿宋_GB2312" w:cs="仿宋_GB2312" w:eastAsia="仿宋_GB2312"/>
                <w:sz w:val="28"/>
                <w:b/>
              </w:rPr>
              <w:t>（五）高铁对铜川城镇布局的影响</w:t>
            </w:r>
          </w:p>
          <w:p>
            <w:pPr>
              <w:pStyle w:val="null3"/>
              <w:ind w:firstLine="560"/>
              <w:jc w:val="both"/>
            </w:pPr>
            <w:r>
              <w:rPr>
                <w:rFonts w:ascii="仿宋_GB2312" w:hAnsi="仿宋_GB2312" w:cs="仿宋_GB2312" w:eastAsia="仿宋_GB2312"/>
                <w:sz w:val="28"/>
              </w:rPr>
              <w:t>分析铜川站、铜川北站、宜君站周边面向未来有哪些布局优化调整建议，最大程度发挥高铁开通效应。</w:t>
            </w:r>
          </w:p>
          <w:p>
            <w:pPr>
              <w:pStyle w:val="null3"/>
              <w:numPr>
                <w:ilvl w:val="0"/>
                <w:numId w:val="1"/>
              </w:numPr>
              <w:spacing w:before="120" w:after="60"/>
              <w:jc w:val="both"/>
            </w:pPr>
            <w:r>
              <w:rPr>
                <w:rFonts w:ascii="仿宋_GB2312" w:hAnsi="仿宋_GB2312" w:cs="仿宋_GB2312" w:eastAsia="仿宋_GB2312"/>
                <w:sz w:val="28"/>
                <w:b/>
              </w:rPr>
              <w:t>（六）基于高铁影响的铜川战略与行动建议</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1）提出如何深度融入共建“一带一路”，发挥西部开放优势，提升铜川开放水平的行动建议。</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2）提出对接国家“两重”项目，形成与央企的对接机制，促进战略腹地建设的行动建议。</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3）提出如何对接国家制造业有序从东部向西部转移的机制建议。</w:t>
            </w:r>
          </w:p>
          <w:p>
            <w:pPr>
              <w:pStyle w:val="null3"/>
              <w:ind w:firstLine="560"/>
              <w:jc w:val="both"/>
            </w:pPr>
            <w:r>
              <w:rPr>
                <w:rFonts w:ascii="仿宋_GB2312" w:hAnsi="仿宋_GB2312" w:cs="仿宋_GB2312" w:eastAsia="仿宋_GB2312"/>
                <w:sz w:val="28"/>
              </w:rPr>
              <w:t>提出如何加强与革命老区的国家政策对接等行动建议。</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4）提出有关加强与西安、渭北产业协同，打造多元产业创新平台的行动建议。</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5）提出如何提升旅游品牌效应，打造特色旅游交通线网，带动全域资源发展的行动建议。</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6）提出如何多渠道增加常住和服务型人口应对多元人口需求的空间优化建议。</w:t>
            </w:r>
          </w:p>
          <w:p>
            <w:pPr>
              <w:pStyle w:val="null3"/>
              <w:numPr>
                <w:ilvl w:val="0"/>
                <w:numId w:val="1"/>
              </w:numPr>
              <w:jc w:val="both"/>
            </w:pPr>
            <w:r>
              <w:rPr>
                <w:rFonts w:ascii="仿宋_GB2312" w:hAnsi="仿宋_GB2312" w:cs="仿宋_GB2312" w:eastAsia="仿宋_GB2312"/>
                <w:sz w:val="28"/>
                <w:b/>
              </w:rPr>
              <w:t>三、成果要求</w:t>
            </w:r>
          </w:p>
          <w:p>
            <w:pPr>
              <w:pStyle w:val="null3"/>
              <w:jc w:val="both"/>
            </w:pPr>
            <w:r>
              <w:rPr>
                <w:rFonts w:ascii="仿宋_GB2312" w:hAnsi="仿宋_GB2312" w:cs="仿宋_GB2312" w:eastAsia="仿宋_GB2312"/>
                <w:sz w:val="28"/>
                <w:color w:val="000000"/>
              </w:rPr>
              <w:t>纸质成果主要包括《西延高铁对铜川经济社会发展的影响研究》报告</w:t>
            </w:r>
            <w:r>
              <w:rPr>
                <w:rFonts w:ascii="仿宋_GB2312" w:hAnsi="仿宋_GB2312" w:cs="仿宋_GB2312" w:eastAsia="仿宋_GB2312"/>
                <w:sz w:val="28"/>
                <w:color w:val="000000"/>
              </w:rPr>
              <w:t>10套等主要成果内容，同步提交相应文件的电子成果（电子版）。</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6个月</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达到采购人及规划研究行业内规定的验收交付标准和方法</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提交成果评审稿并通过技术审查验收后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按照双方最终签订的服务合同执行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合格供应商</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 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法定代表人参加会议时，提供本人身份证；授权代表参加会议时，提供法定代表人 授权书和被授权人身份证；</w:t>
            </w:r>
          </w:p>
        </w:tc>
        <w:tc>
          <w:tcPr>
            <w:tcW w:type="dxa" w:w="1661"/>
          </w:tcPr>
          <w:p>
            <w:pPr>
              <w:pStyle w:val="null3"/>
            </w:pPr>
            <w:r>
              <w:rPr>
                <w:rFonts w:ascii="仿宋_GB2312" w:hAnsi="仿宋_GB2312" w:cs="仿宋_GB2312" w:eastAsia="仿宋_GB2312"/>
              </w:rPr>
              <w:t>法定代表人身份证明书.docx 法定代表人授权委托书.docx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供应商信誉</w:t>
            </w:r>
          </w:p>
        </w:tc>
        <w:tc>
          <w:tcPr>
            <w:tcW w:type="dxa" w:w="3322"/>
          </w:tcPr>
          <w:p>
            <w:pPr>
              <w:pStyle w:val="null3"/>
            </w:pPr>
            <w:r>
              <w:rPr>
                <w:rFonts w:ascii="仿宋_GB2312" w:hAnsi="仿宋_GB2312" w:cs="仿宋_GB2312" w:eastAsia="仿宋_GB2312"/>
              </w:rPr>
              <w:t>供应商不得为“信用中国”网站（www.creditchina.gov.cn）中列入失信被执行人 和重大税收违法失信主体名单的供应商，不得为中国政府采购网（www.ccgp.go v.cn）政府采购严重违法失信行为记录名单中被财政部门禁止参加政府采购活动的 供应商；</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供应商提供2022年至今任意一年的财务审计报告(成立时间至提交响应文件截止时 间不足年的可提供成立后任意时段的资产负债表)，或其基本存款账户开户银行出 具的资信或资金证明(复印件加盖供应商公章)；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履行能力</w:t>
            </w:r>
          </w:p>
        </w:tc>
        <w:tc>
          <w:tcPr>
            <w:tcW w:type="dxa" w:w="3322"/>
          </w:tcPr>
          <w:p>
            <w:pPr>
              <w:pStyle w:val="null3"/>
            </w:pPr>
            <w:r>
              <w:rPr>
                <w:rFonts w:ascii="仿宋_GB2312" w:hAnsi="仿宋_GB2312" w:cs="仿宋_GB2312" w:eastAsia="仿宋_GB2312"/>
              </w:rPr>
              <w:t>具有履行合同所必需的设备和专业技术能力，提供证明材料或书面承诺并加盖公章；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参加政府采购活动近三年内，在经营活动中没有重大违法记录，提供书面声明；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提供响应文件递交截止时间前6个月内任意1个月已缴纳完税凭证（任意税种）或 税务机关开具的完税证明（任意税种）；</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提供响应文件递交截止时间前6个月内任意1个月已缴存的任意时段的社会保障资 金缴存单据或社保机构开具的社会保险参保缴费情况证明；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资质证书</w:t>
            </w:r>
          </w:p>
        </w:tc>
        <w:tc>
          <w:tcPr>
            <w:tcW w:type="dxa" w:w="3322"/>
          </w:tcPr>
          <w:p>
            <w:pPr>
              <w:pStyle w:val="null3"/>
            </w:pPr>
            <w:r>
              <w:rPr>
                <w:rFonts w:ascii="仿宋_GB2312" w:hAnsi="仿宋_GB2312" w:cs="仿宋_GB2312" w:eastAsia="仿宋_GB2312"/>
              </w:rPr>
              <w:t>供应商应具备城乡规划乙级及以上资质，且在有效期内；拟委派的项目负责人应具备高级（含副高）以上技术职称；</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响应文件格式、签署盖章</w:t>
            </w:r>
          </w:p>
        </w:tc>
        <w:tc>
          <w:tcPr>
            <w:tcW w:type="dxa" w:w="3322"/>
          </w:tcPr>
          <w:p>
            <w:pPr>
              <w:pStyle w:val="null3"/>
            </w:pPr>
            <w:r>
              <w:rPr>
                <w:rFonts w:ascii="仿宋_GB2312" w:hAnsi="仿宋_GB2312" w:cs="仿宋_GB2312" w:eastAsia="仿宋_GB2312"/>
              </w:rPr>
              <w:t>应满足磋商文件格式要求</w:t>
            </w:r>
          </w:p>
        </w:tc>
        <w:tc>
          <w:tcPr>
            <w:tcW w:type="dxa" w:w="1661"/>
          </w:tcPr>
          <w:p>
            <w:pPr>
              <w:pStyle w:val="null3"/>
            </w:pPr>
            <w:r>
              <w:rPr>
                <w:rFonts w:ascii="仿宋_GB2312" w:hAnsi="仿宋_GB2312" w:cs="仿宋_GB2312" w:eastAsia="仿宋_GB2312"/>
              </w:rPr>
              <w:t>服务内容及服务邀请应答表 供应商类似项目业绩一览表.docx 中小企业声明函 商务应答表 其它资料.docx 报价表 响应文件封面 法定代表人身份证明书.docx 供应商应提交的相关资格证明材料.docx 项目管理机构人员表.docx 残疾人福利性单位声明函 服务方案 标的清单 响应函 法定代表人授权委托书.docx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报价唯一性</w:t>
            </w:r>
          </w:p>
        </w:tc>
        <w:tc>
          <w:tcPr>
            <w:tcW w:type="dxa" w:w="3322"/>
          </w:tcPr>
          <w:p>
            <w:pPr>
              <w:pStyle w:val="null3"/>
            </w:pPr>
            <w:r>
              <w:rPr>
                <w:rFonts w:ascii="仿宋_GB2312" w:hAnsi="仿宋_GB2312" w:cs="仿宋_GB2312" w:eastAsia="仿宋_GB2312"/>
              </w:rPr>
              <w:t>各供应商响应文件所报的报价金额必须是唯一报价，不得出现其他金额报价，否则按无效报价对待，其余指标不再评审。</w:t>
            </w:r>
          </w:p>
        </w:tc>
        <w:tc>
          <w:tcPr>
            <w:tcW w:type="dxa" w:w="1661"/>
          </w:tcPr>
          <w:p>
            <w:pPr>
              <w:pStyle w:val="null3"/>
            </w:pPr>
            <w:r>
              <w:rPr>
                <w:rFonts w:ascii="仿宋_GB2312" w:hAnsi="仿宋_GB2312" w:cs="仿宋_GB2312" w:eastAsia="仿宋_GB2312"/>
              </w:rPr>
              <w:t>标的清单 报价表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详细评审90.0000分</w:t>
            </w:r>
          </w:p>
          <w:p>
            <w:pPr>
              <w:pStyle w:val="null3"/>
            </w:pPr>
            <w:r>
              <w:rPr>
                <w:rFonts w:ascii="仿宋_GB2312" w:hAnsi="仿宋_GB2312" w:cs="仿宋_GB2312" w:eastAsia="仿宋_GB2312"/>
              </w:rPr>
              <w:t>报价得分10.0000分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对项目是否提出全面、完整、可实施的规划研究方案进行描述； 方案各部分内容全面详细、阐述条例清晰详尽、符合本项目采购需求得 20分； 评审内容有缺陷不满足采购需求的扣0.1-10。未提供方案不得分。 （缺陷是指：内容粗略、逻辑混乱、描述过于简单、与项目特点不匹配、凭空编造、逻辑漏洞、出现常识性错误、存在不适用项目实际情况的情形或只有标题没有实质性内容等）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对项目认知</w:t>
            </w:r>
          </w:p>
        </w:tc>
        <w:tc>
          <w:tcPr>
            <w:tcW w:type="dxa" w:w="2492"/>
          </w:tcPr>
          <w:p>
            <w:pPr>
              <w:pStyle w:val="null3"/>
            </w:pPr>
            <w:r>
              <w:rPr>
                <w:rFonts w:ascii="仿宋_GB2312" w:hAnsi="仿宋_GB2312" w:cs="仿宋_GB2312" w:eastAsia="仿宋_GB2312"/>
              </w:rPr>
              <w:t>对国家和省、市相关政策和规划把握、理解、认识是否准确、到位、深入，对项目背景的认识是否深刻，对铜川市定位及经济社会发展现状是否掌握。方案各部分内容全面详细、阐述条例清晰详尽、符合本项目采购需求得 20分； 评审内容有缺陷不满足采购需求的扣0.1-10。未提供方案不得分。 （缺陷是指：内容粗略、逻辑混乱、描述过于简单、与项目特点不匹配、凭空编造、逻辑漏洞、出现常识性错误、存在不适用项目实际情况的情形或只有标题没有实质性内容等）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研究重点难点分析</w:t>
            </w:r>
          </w:p>
        </w:tc>
        <w:tc>
          <w:tcPr>
            <w:tcW w:type="dxa" w:w="2492"/>
          </w:tcPr>
          <w:p>
            <w:pPr>
              <w:pStyle w:val="null3"/>
            </w:pPr>
            <w:r>
              <w:rPr>
                <w:rFonts w:ascii="仿宋_GB2312" w:hAnsi="仿宋_GB2312" w:cs="仿宋_GB2312" w:eastAsia="仿宋_GB2312"/>
              </w:rPr>
              <w:t>结合本项目特点及实际情况，提供具有针对性的重难点分析、技术建议及对策措施。 方案各部分内容全面详细、阐述条例清晰详尽、符合本项目采购需求得 15分； 评审内容有缺陷不满足采购需求的扣0.1-8。未提供方案不得分。 （缺陷是指：内容粗略、逻辑混乱、描述过于简单、与项目特点不匹配、凭空编造、逻辑漏洞、出现常识性错误、存在不适用项目实际情况的情形或只有标题没有实质性内容等）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沟通协调机制</w:t>
            </w:r>
          </w:p>
        </w:tc>
        <w:tc>
          <w:tcPr>
            <w:tcW w:type="dxa" w:w="2492"/>
          </w:tcPr>
          <w:p>
            <w:pPr>
              <w:pStyle w:val="null3"/>
            </w:pPr>
            <w:r>
              <w:rPr>
                <w:rFonts w:ascii="仿宋_GB2312" w:hAnsi="仿宋_GB2312" w:cs="仿宋_GB2312" w:eastAsia="仿宋_GB2312"/>
              </w:rPr>
              <w:t>1、具有完善的沟通管理体系、健全的管理制度，条理清晰，各方面制度能根据本项目实际情况请调整的，计5分； 2、相关管理制度简单、无实质性针对内容的，计3分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进度计划</w:t>
            </w:r>
          </w:p>
        </w:tc>
        <w:tc>
          <w:tcPr>
            <w:tcW w:type="dxa" w:w="2492"/>
          </w:tcPr>
          <w:p>
            <w:pPr>
              <w:pStyle w:val="null3"/>
            </w:pPr>
            <w:r>
              <w:rPr>
                <w:rFonts w:ascii="仿宋_GB2312" w:hAnsi="仿宋_GB2312" w:cs="仿宋_GB2312" w:eastAsia="仿宋_GB2312"/>
              </w:rPr>
              <w:t>根据本项目需求，提出针对本项目工作实施进度计划。方案各部分内容全面详细、阐述条例清晰详尽、符合本项目采购需求得 5分； 评审内容有缺陷不满足采购需求的扣0.1-3。未提供方案不得分。 （缺陷是指：内容粗略、逻辑混乱、描述过于简单、与项目特点不匹配、凭空编造、逻辑漏洞、出现常识性错误、存在不适用项目实际情况的情形或只有标题没有实质性内容等）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1、供应商应组建不少于5人的团队，满足得5分，否则不得分。 2、拟委派项目负责人具有高级及以上（含副高）专业职称，得2分。 3、拟委派项目组成员（除项目负责人外）中，具有注册城乡规划师及中级及以上相关专业职称，每个得1分，本项目最高得3分。 （注：以上人员需提供加盖公章的相关证书，否则不计分）未提供相关内容不得分。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项目管理机构人员表.docx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服务承诺及保密承诺全面，措施具体可行，符合本项目采购需求得5分； 评审内容有缺陷不满足采购需求的扣0.1-3。未提供方案不得分。 （缺陷是指：内容粗略、逻辑混乱、描述过于简单、与项目特点不匹配、凭空编造、逻辑漏洞、出现常识性错误、存在不适用项目实际情况的情形或只有标题没有实质性内容等）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合理化建议可行性，合理性全面具体，符合本项目采购需求得5分。 评审内容有缺陷不满足采购需求的扣0.1-3。未提供方案不得分。 （缺陷是指：内容粗略、逻辑混乱、描述过于简单、与项目特点不匹配、凭空编造、逻辑漏洞、出现常识性错误、存在不适用项目实际情况的情形或只有标题没有实质性内容等）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提供2022年1月1日以来类似项目的业绩合同，评审时以响应文件中的业绩证明文件复印件为计分依据，每出具一份业绩证明文件得1分，满分5分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投标报价：以最终报价为准，并计算。 计算方式：统一采用低价优先法计算，即满足 磋商文件要求且投标价格最低的投标报价为评标基准价，其价格分为满分。其他供应 商的价格分统一按照下列公式计算：投标报价得分=（投标基准价/最终投标报价）×1 0计算得分；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详见附件：法定代表人身份证明书.docx</w:t>
      </w:r>
    </w:p>
    <w:p>
      <w:pPr>
        <w:pStyle w:val="null3"/>
        <w:ind w:firstLine="960"/>
      </w:pPr>
      <w:r>
        <w:rPr>
          <w:rFonts w:ascii="仿宋_GB2312" w:hAnsi="仿宋_GB2312" w:cs="仿宋_GB2312" w:eastAsia="仿宋_GB2312"/>
        </w:rPr>
        <w:t>详见附件：法定代表人授权委托书.docx</w:t>
      </w:r>
    </w:p>
    <w:p>
      <w:pPr>
        <w:pStyle w:val="null3"/>
        <w:ind w:firstLine="960"/>
      </w:pPr>
      <w:r>
        <w:rPr>
          <w:rFonts w:ascii="仿宋_GB2312" w:hAnsi="仿宋_GB2312" w:cs="仿宋_GB2312" w:eastAsia="仿宋_GB2312"/>
        </w:rPr>
        <w:t>详见附件：供应商类似项目业绩一览表.docx</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详见附件：项目管理机构人员表.docx</w:t>
      </w:r>
    </w:p>
    <w:p>
      <w:pPr>
        <w:pStyle w:val="null3"/>
        <w:ind w:firstLine="960"/>
      </w:pPr>
      <w:r>
        <w:rPr>
          <w:rFonts w:ascii="仿宋_GB2312" w:hAnsi="仿宋_GB2312" w:cs="仿宋_GB2312" w:eastAsia="仿宋_GB2312"/>
        </w:rPr>
        <w:t>详见附件：其它资料.docx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