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  <w:bookmarkStart w:id="4" w:name="_GoBack"/>
            <w:bookmarkEnd w:id="4"/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23490CEA"/>
    <w:rsid w:val="33CF0BF8"/>
    <w:rsid w:val="4BEF4156"/>
    <w:rsid w:val="535B1EC5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270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2025-03-20T02:20:48Z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eyJoZGlkIjoiNzAwZGQ5MzY1ZTcxMzdhMzY4MmE4MTViNDBkM2ZhMjgiLCJ1c2VySWQiOiIzMjAyNzg0MDcifQ==</vt:lpwstr>
  </property>
</Properties>
</file>