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版本号：SZT2025-SN-XC-ZC-FW-013120250320001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历史文化文史资料《铜川药王山》《铜川玉华山》编撰出版项目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SZT2025-SN-XC-ZC-FW-0131</w:t>
      </w:r>
      <w:r>
        <w:br/>
      </w:r>
      <w:r>
        <w:br/>
      </w:r>
      <w:r>
        <w:br/>
      </w:r>
    </w:p>
    <w:p>
      <w:pPr>
        <w:pStyle w:val="null3"/>
        <w:jc w:val="center"/>
        <w:outlineLvl w:val="5"/>
      </w:pPr>
      <w:r>
        <w:rPr>
          <w:rFonts w:ascii="仿宋_GB2312" w:hAnsi="仿宋_GB2312" w:cs="仿宋_GB2312" w:eastAsia="仿宋_GB2312"/>
          <w:sz w:val="15"/>
          <w:b/>
        </w:rPr>
        <w:t>中国人民政治协商会议陕西省铜川市委员会办公室</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中国人民政治协商会议陕西省铜川市委员会办公室</w:t>
      </w:r>
      <w:r>
        <w:rPr>
          <w:rFonts w:ascii="仿宋_GB2312" w:hAnsi="仿宋_GB2312" w:cs="仿宋_GB2312" w:eastAsia="仿宋_GB2312"/>
        </w:rPr>
        <w:t>委托，拟对</w:t>
      </w:r>
      <w:r>
        <w:rPr>
          <w:rFonts w:ascii="仿宋_GB2312" w:hAnsi="仿宋_GB2312" w:cs="仿宋_GB2312" w:eastAsia="仿宋_GB2312"/>
        </w:rPr>
        <w:t>历史文化文史资料《铜川药王山》《铜川玉华山》编撰出版项目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SZT2025-SN-XC-ZC-FW-0131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历史文化文史资料《铜川药王山》《铜川玉华山》编撰出版项目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历史文化文史资料《铜川药王山》《铜川玉华山》编撰出版项目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p>
    <w:p>
      <w:pPr>
        <w:pStyle w:val="null3"/>
      </w:pPr>
      <w:r>
        <w:rPr>
          <w:rFonts w:ascii="仿宋_GB2312" w:hAnsi="仿宋_GB2312" w:cs="仿宋_GB2312" w:eastAsia="仿宋_GB2312"/>
        </w:rPr>
        <w:t>2、单位负责人为同一人或者存在直接控股、管理关系的不同投标人不得参加同一合同项下的政府采购活动； 为本项目提供整体设计、规范编制或者项目管理、监理、检测等服务的投标人，不得再参加该采购项目的其他采购活动。：供应商需在项目电子化交易系统中按要求填写《投标函》完成承诺并进行电子签章、提供直接控股和直接管理关系清单。若与其他投标人存在单位负责人为同一人或者存在直接控股、管理关系的，则投标无效</w:t>
      </w:r>
    </w:p>
    <w:p>
      <w:pPr>
        <w:pStyle w:val="null3"/>
      </w:pPr>
      <w:r>
        <w:rPr>
          <w:rFonts w:ascii="仿宋_GB2312" w:hAnsi="仿宋_GB2312" w:cs="仿宋_GB2312" w:eastAsia="仿宋_GB2312"/>
        </w:rPr>
        <w:t>3、本项目不接受联合体投标：本项目不接受联合体投标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中国人民政治协商会议陕西省铜川市委员会办公室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寇军平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0919-3283682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张志翰、马帅、单博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029-88364979-833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代理服务费收费标准：本项目采购代理服务收费标准依据国家计委（计价格〔2002〕1980号）文件规定计取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中国人民政治协商会议陕西省铜川市委员会办公室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中国人民政治协商会议陕西省铜川市委员会办公室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历史文化文史资料《铜川药王山》《铜川玉华山》编撰出版项目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0"/>
                <w:b/>
              </w:rPr>
              <w:t>一、服务内容及要求</w:t>
            </w:r>
          </w:p>
          <w:p>
            <w:pPr>
              <w:pStyle w:val="null3"/>
            </w:pPr>
            <w:r>
              <w:rPr>
                <w:rFonts w:ascii="仿宋_GB2312" w:hAnsi="仿宋_GB2312" w:cs="仿宋_GB2312" w:eastAsia="仿宋_GB2312"/>
                <w:sz w:val="20"/>
              </w:rPr>
              <w:t>1.研究与编撰</w:t>
            </w:r>
          </w:p>
          <w:p>
            <w:pPr>
              <w:pStyle w:val="null3"/>
            </w:pPr>
            <w:r>
              <w:rPr>
                <w:rFonts w:ascii="仿宋_GB2312" w:hAnsi="仿宋_GB2312" w:cs="仿宋_GB2312" w:eastAsia="仿宋_GB2312"/>
                <w:sz w:val="20"/>
              </w:rPr>
              <w:t>（</w:t>
            </w:r>
            <w:r>
              <w:rPr>
                <w:rFonts w:ascii="仿宋_GB2312" w:hAnsi="仿宋_GB2312" w:cs="仿宋_GB2312" w:eastAsia="仿宋_GB2312"/>
                <w:sz w:val="20"/>
              </w:rPr>
              <w:t>1）《铜川药王山》：深入挖掘药王山的历史文化名人，重点围绕孙思邈等药王文化相关人物展开研究。 深度剖析药王山的药王文化、石窟文化、罄玉文化、碑刻文化、古建筑文化等，全面展现其前世今生及世界级历史地位。研究字数不少于30万字，内容需涵盖历史沿革、文化内涵、学术价值、现代意义等方面。</w:t>
            </w:r>
          </w:p>
          <w:p>
            <w:pPr>
              <w:pStyle w:val="null3"/>
            </w:pPr>
            <w:r>
              <w:rPr>
                <w:rFonts w:ascii="仿宋_GB2312" w:hAnsi="仿宋_GB2312" w:cs="仿宋_GB2312" w:eastAsia="仿宋_GB2312"/>
                <w:sz w:val="20"/>
              </w:rPr>
              <w:t>（</w:t>
            </w:r>
            <w:r>
              <w:rPr>
                <w:rFonts w:ascii="仿宋_GB2312" w:hAnsi="仿宋_GB2312" w:cs="仿宋_GB2312" w:eastAsia="仿宋_GB2312"/>
                <w:sz w:val="20"/>
              </w:rPr>
              <w:t>2）《铜川玉华山》：深入挖掘玉华山作为唐三代帝王避暑行宫的历史背景，重点研究玄奘文化、生态避暑文化及相关重大历史事件、历史名人。 全面展现玉华山唐文化魅力及其在世界文化交流史上的重大意义。研究字数不少于20万字，内容需涵盖历史沿革、文化内涵、学术价值、现代意义等方面。</w:t>
            </w:r>
          </w:p>
          <w:p>
            <w:pPr>
              <w:pStyle w:val="null3"/>
            </w:pPr>
            <w:r>
              <w:rPr>
                <w:rFonts w:ascii="仿宋_GB2312" w:hAnsi="仿宋_GB2312" w:cs="仿宋_GB2312" w:eastAsia="仿宋_GB2312"/>
                <w:sz w:val="20"/>
              </w:rPr>
              <w:t>（</w:t>
            </w:r>
            <w:r>
              <w:rPr>
                <w:rFonts w:ascii="仿宋_GB2312" w:hAnsi="仿宋_GB2312" w:cs="仿宋_GB2312" w:eastAsia="仿宋_GB2312"/>
                <w:sz w:val="20"/>
              </w:rPr>
              <w:t>3）两本书稿共同要求：充分展现新中国成立以来全国知名专家学者对铜川历史文化研究的最权威、最前沿的最新成果。 确保内容真实、准确、权威，符合学术规范，具有较高的学术价值和文化传承意义。</w:t>
            </w:r>
          </w:p>
          <w:p>
            <w:pPr>
              <w:pStyle w:val="null3"/>
            </w:pPr>
            <w:r>
              <w:rPr>
                <w:rFonts w:ascii="仿宋_GB2312" w:hAnsi="仿宋_GB2312" w:cs="仿宋_GB2312" w:eastAsia="仿宋_GB2312"/>
                <w:sz w:val="20"/>
              </w:rPr>
              <w:t>2.出版与印刷</w:t>
            </w:r>
          </w:p>
          <w:p>
            <w:pPr>
              <w:pStyle w:val="null3"/>
            </w:pPr>
            <w:r>
              <w:rPr>
                <w:rFonts w:ascii="仿宋_GB2312" w:hAnsi="仿宋_GB2312" w:cs="仿宋_GB2312" w:eastAsia="仿宋_GB2312"/>
                <w:sz w:val="20"/>
              </w:rPr>
              <w:t>（</w:t>
            </w:r>
            <w:r>
              <w:rPr>
                <w:rFonts w:ascii="仿宋_GB2312" w:hAnsi="仿宋_GB2312" w:cs="仿宋_GB2312" w:eastAsia="仿宋_GB2312"/>
                <w:sz w:val="20"/>
              </w:rPr>
              <w:t>1）出版要求：与国内出版社合作，确保图书质量符合国家出版标准。图书装帧设计</w:t>
            </w:r>
            <w:r>
              <w:rPr>
                <w:rFonts w:ascii="仿宋_GB2312" w:hAnsi="仿宋_GB2312" w:cs="仿宋_GB2312" w:eastAsia="仿宋_GB2312"/>
                <w:sz w:val="20"/>
              </w:rPr>
              <w:t>应</w:t>
            </w:r>
            <w:r>
              <w:rPr>
                <w:rFonts w:ascii="仿宋_GB2312" w:hAnsi="仿宋_GB2312" w:cs="仿宋_GB2312" w:eastAsia="仿宋_GB2312"/>
                <w:sz w:val="20"/>
              </w:rPr>
              <w:t>体现铜川历史文化特色，适合对外宣传和文化交流。每部图书需配备高质量的图片资料，图片数量不少于</w:t>
            </w:r>
            <w:r>
              <w:rPr>
                <w:rFonts w:ascii="仿宋_GB2312" w:hAnsi="仿宋_GB2312" w:cs="仿宋_GB2312" w:eastAsia="仿宋_GB2312"/>
                <w:sz w:val="20"/>
              </w:rPr>
              <w:t>50</w:t>
            </w:r>
            <w:r>
              <w:rPr>
                <w:rFonts w:ascii="仿宋_GB2312" w:hAnsi="仿宋_GB2312" w:cs="仿宋_GB2312" w:eastAsia="仿宋_GB2312"/>
                <w:sz w:val="20"/>
              </w:rPr>
              <w:t>张，图片分辨率不低于</w:t>
            </w:r>
            <w:r>
              <w:rPr>
                <w:rFonts w:ascii="仿宋_GB2312" w:hAnsi="仿宋_GB2312" w:cs="仿宋_GB2312" w:eastAsia="仿宋_GB2312"/>
                <w:sz w:val="20"/>
              </w:rPr>
              <w:t>300dpi。</w:t>
            </w:r>
          </w:p>
          <w:p>
            <w:pPr>
              <w:pStyle w:val="null3"/>
            </w:pPr>
            <w:r>
              <w:rPr>
                <w:rFonts w:ascii="仿宋_GB2312" w:hAnsi="仿宋_GB2312" w:cs="仿宋_GB2312" w:eastAsia="仿宋_GB2312"/>
                <w:sz w:val="20"/>
              </w:rPr>
              <w:t>（</w:t>
            </w:r>
            <w:r>
              <w:rPr>
                <w:rFonts w:ascii="仿宋_GB2312" w:hAnsi="仿宋_GB2312" w:cs="仿宋_GB2312" w:eastAsia="仿宋_GB2312"/>
                <w:sz w:val="20"/>
              </w:rPr>
              <w:t>2）印刷要求：采用纸张四色套印印刷。</w:t>
            </w:r>
          </w:p>
          <w:p>
            <w:pPr>
              <w:pStyle w:val="null3"/>
            </w:pPr>
            <w:r>
              <w:rPr>
                <w:rFonts w:ascii="仿宋_GB2312" w:hAnsi="仿宋_GB2312" w:cs="仿宋_GB2312" w:eastAsia="仿宋_GB2312"/>
                <w:sz w:val="20"/>
              </w:rPr>
              <w:t>（</w:t>
            </w:r>
            <w:r>
              <w:rPr>
                <w:rFonts w:ascii="仿宋_GB2312" w:hAnsi="仿宋_GB2312" w:cs="仿宋_GB2312" w:eastAsia="仿宋_GB2312"/>
                <w:sz w:val="20"/>
              </w:rPr>
              <w:t>3）印刷数量：两书各5000册。</w:t>
            </w:r>
          </w:p>
          <w:p>
            <w:pPr>
              <w:pStyle w:val="null3"/>
            </w:pPr>
            <w:r>
              <w:rPr>
                <w:rFonts w:ascii="仿宋_GB2312" w:hAnsi="仿宋_GB2312" w:cs="仿宋_GB2312" w:eastAsia="仿宋_GB2312"/>
                <w:sz w:val="20"/>
              </w:rPr>
              <w:t>（</w:t>
            </w:r>
            <w:r>
              <w:rPr>
                <w:rFonts w:ascii="仿宋_GB2312" w:hAnsi="仿宋_GB2312" w:cs="仿宋_GB2312" w:eastAsia="仿宋_GB2312"/>
                <w:sz w:val="20"/>
              </w:rPr>
              <w:t>4）印刷质量需符合国家印刷行业标准，色彩还原度高，文字清晰。</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图书规格尺寸：</w:t>
            </w:r>
            <w:r>
              <w:rPr>
                <w:rFonts w:ascii="仿宋_GB2312" w:hAnsi="仿宋_GB2312" w:cs="仿宋_GB2312" w:eastAsia="仿宋_GB2312"/>
                <w:sz w:val="20"/>
              </w:rPr>
              <w:t>170*240，封面240g铜版纸，胶装装订。</w:t>
            </w:r>
          </w:p>
          <w:p>
            <w:pPr>
              <w:pStyle w:val="null3"/>
            </w:pPr>
            <w:r>
              <w:rPr>
                <w:rFonts w:ascii="仿宋_GB2312" w:hAnsi="仿宋_GB2312" w:cs="仿宋_GB2312" w:eastAsia="仿宋_GB2312"/>
                <w:sz w:val="20"/>
              </w:rPr>
              <w:t>（</w:t>
            </w:r>
            <w:r>
              <w:rPr>
                <w:rFonts w:ascii="仿宋_GB2312" w:hAnsi="仿宋_GB2312" w:cs="仿宋_GB2312" w:eastAsia="仿宋_GB2312"/>
                <w:sz w:val="20"/>
              </w:rPr>
              <w:t>6）图书设计稿须经采购人审核通过，如采购人有修改意见，供应商须按甲方要求进行修改完善，最终板式以采购人审核确认版为准。</w:t>
            </w:r>
          </w:p>
          <w:p>
            <w:pPr>
              <w:pStyle w:val="null3"/>
            </w:pPr>
            <w:r>
              <w:rPr>
                <w:rFonts w:ascii="仿宋_GB2312" w:hAnsi="仿宋_GB2312" w:cs="仿宋_GB2312" w:eastAsia="仿宋_GB2312"/>
                <w:sz w:val="20"/>
              </w:rPr>
              <w:t>3.服务成果资料要求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1）文稿交付：提交完整的文稿，包括正文、注释、参考文献、图片资料等。文稿需经过专业校对和审核，确保文字无错漏，内容符合学术规范。</w:t>
            </w:r>
          </w:p>
          <w:p>
            <w:pPr>
              <w:pStyle w:val="null3"/>
            </w:pPr>
            <w:r>
              <w:rPr>
                <w:rFonts w:ascii="仿宋_GB2312" w:hAnsi="仿宋_GB2312" w:cs="仿宋_GB2312" w:eastAsia="仿宋_GB2312"/>
                <w:sz w:val="20"/>
              </w:rPr>
              <w:t>4.出版文件</w:t>
            </w:r>
          </w:p>
          <w:p>
            <w:pPr>
              <w:pStyle w:val="null3"/>
            </w:pPr>
            <w:r>
              <w:rPr>
                <w:rFonts w:ascii="仿宋_GB2312" w:hAnsi="仿宋_GB2312" w:cs="仿宋_GB2312" w:eastAsia="仿宋_GB2312"/>
                <w:sz w:val="20"/>
              </w:rPr>
              <w:t>（</w:t>
            </w:r>
            <w:r>
              <w:rPr>
                <w:rFonts w:ascii="仿宋_GB2312" w:hAnsi="仿宋_GB2312" w:cs="仿宋_GB2312" w:eastAsia="仿宋_GB2312"/>
                <w:sz w:val="20"/>
              </w:rPr>
              <w:t>1）提交完整的出版文件，包括排版设计文件、图片文件、电子文档等。</w:t>
            </w:r>
          </w:p>
          <w:p>
            <w:pPr>
              <w:pStyle w:val="null3"/>
            </w:pPr>
            <w:r>
              <w:rPr>
                <w:rFonts w:ascii="仿宋_GB2312" w:hAnsi="仿宋_GB2312" w:cs="仿宋_GB2312" w:eastAsia="仿宋_GB2312"/>
                <w:sz w:val="20"/>
              </w:rPr>
              <w:t>（</w:t>
            </w:r>
            <w:r>
              <w:rPr>
                <w:rFonts w:ascii="仿宋_GB2312" w:hAnsi="仿宋_GB2312" w:cs="仿宋_GB2312" w:eastAsia="仿宋_GB2312"/>
                <w:sz w:val="20"/>
              </w:rPr>
              <w:t>2）提供图书的ISBN号、CIP数据等出版信息。</w:t>
            </w:r>
          </w:p>
          <w:p>
            <w:pPr>
              <w:pStyle w:val="null3"/>
            </w:pPr>
            <w:r>
              <w:rPr>
                <w:rFonts w:ascii="仿宋_GB2312" w:hAnsi="仿宋_GB2312" w:cs="仿宋_GB2312" w:eastAsia="仿宋_GB2312"/>
                <w:sz w:val="20"/>
                <w:b/>
              </w:rPr>
              <w:t>二</w:t>
            </w:r>
            <w:r>
              <w:rPr>
                <w:rFonts w:ascii="仿宋_GB2312" w:hAnsi="仿宋_GB2312" w:cs="仿宋_GB2312" w:eastAsia="仿宋_GB2312"/>
                <w:sz w:val="20"/>
                <w:b/>
              </w:rPr>
              <w:t>、服务期限</w:t>
            </w:r>
          </w:p>
          <w:p>
            <w:pPr>
              <w:pStyle w:val="null3"/>
            </w:pPr>
            <w:r>
              <w:rPr>
                <w:rFonts w:ascii="仿宋_GB2312" w:hAnsi="仿宋_GB2312" w:cs="仿宋_GB2312" w:eastAsia="仿宋_GB2312"/>
                <w:sz w:val="20"/>
              </w:rPr>
              <w:t>文稿初稿交付时间：合同签订后</w:t>
            </w:r>
            <w:r>
              <w:rPr>
                <w:rFonts w:ascii="仿宋_GB2312" w:hAnsi="仿宋_GB2312" w:cs="仿宋_GB2312" w:eastAsia="仿宋_GB2312"/>
                <w:sz w:val="20"/>
              </w:rPr>
              <w:t>6个月内。</w:t>
            </w:r>
          </w:p>
          <w:p>
            <w:pPr>
              <w:pStyle w:val="null3"/>
            </w:pPr>
            <w:r>
              <w:rPr>
                <w:rFonts w:ascii="仿宋_GB2312" w:hAnsi="仿宋_GB2312" w:cs="仿宋_GB2312" w:eastAsia="仿宋_GB2312"/>
                <w:sz w:val="20"/>
              </w:rPr>
              <w:t>文稿定稿交付时间：合同签订后</w:t>
            </w:r>
            <w:r>
              <w:rPr>
                <w:rFonts w:ascii="仿宋_GB2312" w:hAnsi="仿宋_GB2312" w:cs="仿宋_GB2312" w:eastAsia="仿宋_GB2312"/>
                <w:sz w:val="20"/>
              </w:rPr>
              <w:t>8个月内。</w:t>
            </w:r>
          </w:p>
          <w:p>
            <w:pPr>
              <w:pStyle w:val="null3"/>
            </w:pPr>
            <w:r>
              <w:rPr>
                <w:rFonts w:ascii="仿宋_GB2312" w:hAnsi="仿宋_GB2312" w:cs="仿宋_GB2312" w:eastAsia="仿宋_GB2312"/>
                <w:sz w:val="20"/>
              </w:rPr>
              <w:t>出版文件交付时间：合同签订后</w:t>
            </w:r>
            <w:r>
              <w:rPr>
                <w:rFonts w:ascii="仿宋_GB2312" w:hAnsi="仿宋_GB2312" w:cs="仿宋_GB2312" w:eastAsia="仿宋_GB2312"/>
                <w:sz w:val="20"/>
              </w:rPr>
              <w:t>10个月内。</w:t>
            </w:r>
          </w:p>
          <w:p>
            <w:pPr>
              <w:pStyle w:val="null3"/>
            </w:pPr>
            <w:r>
              <w:rPr>
                <w:rFonts w:ascii="仿宋_GB2312" w:hAnsi="仿宋_GB2312" w:cs="仿宋_GB2312" w:eastAsia="仿宋_GB2312"/>
                <w:sz w:val="20"/>
              </w:rPr>
              <w:t>印刷成品交付时间：合同签订后</w:t>
            </w:r>
            <w:r>
              <w:rPr>
                <w:rFonts w:ascii="仿宋_GB2312" w:hAnsi="仿宋_GB2312" w:cs="仿宋_GB2312" w:eastAsia="仿宋_GB2312"/>
                <w:sz w:val="20"/>
              </w:rPr>
              <w:t>12个月内。</w:t>
            </w:r>
          </w:p>
          <w:p>
            <w:pPr>
              <w:pStyle w:val="null3"/>
            </w:pPr>
            <w:r>
              <w:rPr>
                <w:rFonts w:ascii="仿宋_GB2312" w:hAnsi="仿宋_GB2312" w:cs="仿宋_GB2312" w:eastAsia="仿宋_GB2312"/>
                <w:sz w:val="20"/>
                <w:b/>
              </w:rPr>
              <w:t>三</w:t>
            </w:r>
            <w:r>
              <w:rPr>
                <w:rFonts w:ascii="仿宋_GB2312" w:hAnsi="仿宋_GB2312" w:cs="仿宋_GB2312" w:eastAsia="仿宋_GB2312"/>
                <w:sz w:val="20"/>
                <w:b/>
              </w:rPr>
              <w:t>、付款方式</w:t>
            </w:r>
          </w:p>
          <w:p>
            <w:pPr>
              <w:pStyle w:val="null3"/>
            </w:pPr>
            <w:r>
              <w:rPr>
                <w:rFonts w:ascii="仿宋_GB2312" w:hAnsi="仿宋_GB2312" w:cs="仿宋_GB2312" w:eastAsia="仿宋_GB2312"/>
                <w:sz w:val="20"/>
              </w:rPr>
              <w:t>1.合同签订后：支付总金额的80%。</w:t>
            </w:r>
          </w:p>
          <w:p>
            <w:pPr>
              <w:pStyle w:val="null3"/>
            </w:pPr>
            <w:r>
              <w:rPr>
                <w:rFonts w:ascii="仿宋_GB2312" w:hAnsi="仿宋_GB2312" w:cs="仿宋_GB2312" w:eastAsia="仿宋_GB2312"/>
                <w:sz w:val="20"/>
              </w:rPr>
              <w:t>2.文稿定稿交付并审核通过后：支付总金额的20%。</w:t>
            </w:r>
          </w:p>
          <w:p>
            <w:pPr>
              <w:pStyle w:val="null3"/>
            </w:pPr>
            <w:r>
              <w:rPr>
                <w:rFonts w:ascii="仿宋_GB2312" w:hAnsi="仿宋_GB2312" w:cs="仿宋_GB2312" w:eastAsia="仿宋_GB2312"/>
                <w:sz w:val="20"/>
                <w:b/>
              </w:rPr>
              <w:t>四</w:t>
            </w:r>
            <w:r>
              <w:rPr>
                <w:rFonts w:ascii="仿宋_GB2312" w:hAnsi="仿宋_GB2312" w:cs="仿宋_GB2312" w:eastAsia="仿宋_GB2312"/>
                <w:sz w:val="20"/>
                <w:b/>
              </w:rPr>
              <w:t>、其他要求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其他要求</w:t>
            </w:r>
            <w:r>
              <w:rPr>
                <w:rFonts w:ascii="仿宋_GB2312" w:hAnsi="仿宋_GB2312" w:cs="仿宋_GB2312" w:eastAsia="仿宋_GB2312"/>
                <w:sz w:val="20"/>
              </w:rPr>
              <w:t>：需配备专业的研究团队，团队成员需具备相关领域的专业背景。</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要求：</w:t>
            </w:r>
            <w:r>
              <w:rPr>
                <w:rFonts w:ascii="仿宋_GB2312" w:hAnsi="仿宋_GB2312" w:cs="仿宋_GB2312" w:eastAsia="仿宋_GB2312"/>
                <w:sz w:val="20"/>
              </w:rPr>
              <w:t>供应商</w:t>
            </w:r>
            <w:r>
              <w:rPr>
                <w:rFonts w:ascii="仿宋_GB2312" w:hAnsi="仿宋_GB2312" w:cs="仿宋_GB2312" w:eastAsia="仿宋_GB2312"/>
                <w:sz w:val="20"/>
              </w:rPr>
              <w:t>具有中国史一级博士学位授权点，同时具有民族研究的国家级基地，宗教学研究的校内实体研究机构。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2）团队负责人要求：具有中国史博士学位，副高级职称以上，高级职称最少1人；曾出版陕西地方文化普及读物和学术研究成果，或在中央电视台以其他形式宣传推广陕西地方文化。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文稿初稿交付时间：合同签订后6个月内。 文稿定稿交付时间：合同签订后8个月内。 出版文件交付时间：合同签订后10个月内。 印刷成品交付时间：合同签订后12个月内。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文稿定稿交付并审核通过后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报价有可能影响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文稿初稿交付时间：合同签订后6个月内。 文稿定稿交付时间：合同签订后8个月内。 出版文件交付时间：合同签订后10个月内。 印刷成品交付时间：合同签订后12个月内。</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1.合同签订后：支付总金额的80%。 2.文稿定稿交付并审核通过后：支付总金额的20%。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中小企业声明函 残疾人福利性单位声明函 标的清单 资格响应表.docx 报价表 响应函 商务偏离表.docx 服务方案.docx 监狱企业的证明文件 报价表及分项报价表.docx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