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版本号：HX-TC-2025-0620250331002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铜川市医保经办智能自助服务终端</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HX-TC-2025-06</w:t>
      </w:r>
      <w:r>
        <w:br/>
      </w:r>
      <w:r>
        <w:br/>
      </w:r>
      <w:r>
        <w:br/>
      </w:r>
    </w:p>
    <w:p>
      <w:pPr>
        <w:pStyle w:val="null3"/>
        <w:jc w:val="center"/>
        <w:outlineLvl w:val="2"/>
      </w:pPr>
      <w:r>
        <w:rPr>
          <w:rFonts w:ascii="仿宋_GB2312" w:hAnsi="仿宋_GB2312" w:cs="仿宋_GB2312" w:eastAsia="仿宋_GB2312"/>
          <w:sz w:val="28"/>
          <w:b/>
        </w:rPr>
        <w:t>铜川市医疗保障局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铜川市医疗保障局</w:t>
      </w:r>
      <w:r>
        <w:rPr>
          <w:rFonts w:ascii="仿宋_GB2312" w:hAnsi="仿宋_GB2312" w:cs="仿宋_GB2312" w:eastAsia="仿宋_GB2312"/>
        </w:rPr>
        <w:t>委托，拟对</w:t>
      </w:r>
      <w:r>
        <w:rPr>
          <w:rFonts w:ascii="仿宋_GB2312" w:hAnsi="仿宋_GB2312" w:cs="仿宋_GB2312" w:eastAsia="仿宋_GB2312"/>
        </w:rPr>
        <w:t>铜川市医保经办智能自助服务终端</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HX-TC-2025-06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铜川市医保经办智能自助服务终端</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采购医保业务综合服务终端</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采购包1（铜川市医保经办智能自助服务终端）：属于专门面向中小企业采购。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合法注册的法人或其他组织或自然人，提供营业执照（或事业法人证）；自然人的身份证明；供应商需在项目电子化交易系统中按要求上传相应证明文件并进行电子签章；</w:t>
      </w:r>
    </w:p>
    <w:p>
      <w:pPr>
        <w:pStyle w:val="null3"/>
      </w:pPr>
      <w:r>
        <w:rPr>
          <w:rFonts w:ascii="仿宋_GB2312" w:hAnsi="仿宋_GB2312" w:cs="仿宋_GB2312" w:eastAsia="仿宋_GB2312"/>
        </w:rPr>
        <w:t>2、具有良好的商业信誉：供应商提供“信用中国”网站（www.creditchina.gov.cn）中未被列入“重大税收违法案件当事人名单”和“失信被执行人”截图；（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3、法定代表人授权书：法定代表人授权书及被授权人身份证（法定代表人直接参与，只须提交其身份证）；供应商需在项目电子化交易系统中按要求上传相应证明文件并进行电子签章；</w:t>
      </w:r>
    </w:p>
    <w:p>
      <w:pPr>
        <w:pStyle w:val="null3"/>
      </w:pPr>
      <w:r>
        <w:rPr>
          <w:rFonts w:ascii="仿宋_GB2312" w:hAnsi="仿宋_GB2312" w:cs="仿宋_GB2312" w:eastAsia="仿宋_GB2312"/>
        </w:rPr>
        <w:t>4、无重大违法记录的书面声明：供应商参加政府采购活动前三年内在经营活动中没有重大违法记录的书面声明。（格式自拟）；供应商需在项目电子化交易系统中按要求上传相应证明文件并进行电子签章；</w:t>
      </w:r>
    </w:p>
    <w:p>
      <w:pPr>
        <w:pStyle w:val="null3"/>
      </w:pPr>
      <w:r>
        <w:rPr>
          <w:rFonts w:ascii="仿宋_GB2312" w:hAnsi="仿宋_GB2312" w:cs="仿宋_GB2312" w:eastAsia="仿宋_GB2312"/>
        </w:rPr>
        <w:t>5、完税证明：供应商需提供截止至投标截止时间前六个月内任意一个月的税收缴纳缴费凭据；（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社保缴纳凭证：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7、履约承诺：提供具有履行合同所必需的设备和专业技术能力的承诺，供应商需在项目电子化交易系统中按要求上传相应证明文件并进行电子签章；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铜川市医疗保障局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铜川市新区金谟东路一号财税大厦11楼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0919-2851692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陕西省西安市雁塔区陕西省西安市高新区唐延路11号禾盛京广中心B座14层1403室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18149038707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铜川市医疗保障局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铜川市医疗保障局</w:t>
      </w:r>
      <w:r>
        <w:rPr>
          <w:rFonts w:ascii="仿宋_GB2312" w:hAnsi="仿宋_GB2312" w:cs="仿宋_GB2312" w:eastAsia="仿宋_GB2312"/>
        </w:rPr>
        <w:t>负责解释。除上述招标文件内容，其他内容由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铜川市医疗保障局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联系人：陈晨</w:t>
      </w:r>
    </w:p>
    <w:p>
      <w:pPr>
        <w:pStyle w:val="null3"/>
      </w:pPr>
      <w:r>
        <w:rPr>
          <w:rFonts w:ascii="仿宋_GB2312" w:hAnsi="仿宋_GB2312" w:cs="仿宋_GB2312" w:eastAsia="仿宋_GB2312"/>
        </w:rPr>
        <w:t>联系电话：18149038707</w:t>
      </w:r>
    </w:p>
    <w:p>
      <w:pPr>
        <w:pStyle w:val="null3"/>
      </w:pPr>
      <w:r>
        <w:rPr>
          <w:rFonts w:ascii="仿宋_GB2312" w:hAnsi="仿宋_GB2312" w:cs="仿宋_GB2312" w:eastAsia="仿宋_GB2312"/>
        </w:rPr>
        <w:t>地址：陕西省西安市高新区唐延路11号禾盛京广中心B座14层1403室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采购医保业务综合服务终端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1,580,000.00</w:t>
      </w:r>
    </w:p>
    <w:p>
      <w:pPr>
        <w:pStyle w:val="null3"/>
      </w:pPr>
      <w:r>
        <w:rPr>
          <w:rFonts w:ascii="仿宋_GB2312" w:hAnsi="仿宋_GB2312" w:cs="仿宋_GB2312" w:eastAsia="仿宋_GB2312"/>
        </w:rPr>
        <w:t>采购包最高限价（元）: 1,580,000.00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其他电信和信息传输服务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标的名称：其他电信和信息传输服务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医保业务综合服务终端（A款、B款）</w:t>
            </w:r>
          </w:p>
        </w:tc>
        <w:tc>
          <w:tcPr>
            <w:tcW w:type="dxa" w:w="2076"/>
          </w:tcPr>
          <w:p>
            <w:pPr>
              <w:pStyle w:val="null3"/>
              <w:spacing w:before="345" w:after="330"/>
              <w:jc w:val="center"/>
              <w:outlineLvl w:val="0"/>
            </w:pPr>
            <w:r>
              <w:rPr>
                <w:rFonts w:ascii="仿宋_GB2312" w:hAnsi="仿宋_GB2312" w:cs="仿宋_GB2312" w:eastAsia="仿宋_GB2312"/>
                <w:sz w:val="44"/>
                <w:b/>
              </w:rPr>
              <w:t>采购内容</w:t>
            </w:r>
          </w:p>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项目背景</w:t>
            </w:r>
          </w:p>
          <w:p>
            <w:pPr>
              <w:pStyle w:val="null3"/>
              <w:ind w:firstLine="420"/>
              <w:jc w:val="both"/>
            </w:pPr>
            <w:r>
              <w:rPr>
                <w:rFonts w:ascii="仿宋_GB2312" w:hAnsi="仿宋_GB2312" w:cs="仿宋_GB2312" w:eastAsia="仿宋_GB2312"/>
                <w:sz w:val="24"/>
              </w:rPr>
              <w:t>为深入贯彻国家医保局《关于实施医保服务十六项便民措施的通知》（医保办发〔</w:t>
            </w:r>
            <w:r>
              <w:rPr>
                <w:rFonts w:ascii="仿宋_GB2312" w:hAnsi="仿宋_GB2312" w:cs="仿宋_GB2312" w:eastAsia="仿宋_GB2312"/>
                <w:sz w:val="24"/>
              </w:rPr>
              <w:t>2023</w:t>
            </w: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号）中“在医保经办大厅、银行网点、社区服务中心等场所设立医保自助区”的要求，铜川市医保局结合陕西省医保局《关于进一步深化医保码就医购药全流程应用工作的通知》（陕医保办发〔</w:t>
            </w:r>
            <w:r>
              <w:rPr>
                <w:rFonts w:ascii="仿宋_GB2312" w:hAnsi="仿宋_GB2312" w:cs="仿宋_GB2312" w:eastAsia="仿宋_GB2312"/>
                <w:sz w:val="24"/>
              </w:rPr>
              <w:t>2024</w:t>
            </w:r>
            <w:r>
              <w:rPr>
                <w:rFonts w:ascii="仿宋_GB2312" w:hAnsi="仿宋_GB2312" w:cs="仿宋_GB2312" w:eastAsia="仿宋_GB2312"/>
                <w:sz w:val="24"/>
              </w:rPr>
              <w:t>〕</w:t>
            </w:r>
            <w:r>
              <w:rPr>
                <w:rFonts w:ascii="仿宋_GB2312" w:hAnsi="仿宋_GB2312" w:cs="仿宋_GB2312" w:eastAsia="仿宋_GB2312"/>
                <w:sz w:val="24"/>
              </w:rPr>
              <w:t xml:space="preserve">19 </w:t>
            </w:r>
            <w:r>
              <w:rPr>
                <w:rFonts w:ascii="仿宋_GB2312" w:hAnsi="仿宋_GB2312" w:cs="仿宋_GB2312" w:eastAsia="仿宋_GB2312"/>
                <w:sz w:val="24"/>
              </w:rPr>
              <w:t xml:space="preserve">号）提出的 “刷脸办”转型目标，计划在全市范围内以医保经办大厅为核心载体，重点医疗机构、医疗保障服务站、公共场所等四类场所同步部署医保综合服务终端。该终端集成人脸识别、身份证读取、医保电子凭证识读等功能，通过触显一体屏实现参保查询、业务办理等 </w:t>
            </w:r>
            <w:r>
              <w:rPr>
                <w:rFonts w:ascii="仿宋_GB2312" w:hAnsi="仿宋_GB2312" w:cs="仿宋_GB2312" w:eastAsia="仿宋_GB2312"/>
                <w:sz w:val="24"/>
              </w:rPr>
              <w:t xml:space="preserve">20 </w:t>
            </w:r>
            <w:r>
              <w:rPr>
                <w:rFonts w:ascii="仿宋_GB2312" w:hAnsi="仿宋_GB2312" w:cs="仿宋_GB2312" w:eastAsia="仿宋_GB2312"/>
                <w:sz w:val="24"/>
              </w:rPr>
              <w:t>余项高频服务的 “无感化” 操作，既满足国家关于医保服务数字化转型的标准要求，又通过 “刷脸办” 解决了老年人等特殊群体的 “数字鸿沟” 问题。构建医保智能化服务体系，为陕西省医保码全流程应用提供实践范例，切实提升参保群众的获得感与满意度。</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）采购主要内容</w:t>
            </w:r>
          </w:p>
          <w:tbl>
            <w:tblPr>
              <w:tblBorders>
                <w:top w:val="none" w:color="000000" w:sz="4"/>
                <w:left w:val="none" w:color="000000" w:sz="4"/>
                <w:bottom w:val="none" w:color="000000" w:sz="4"/>
                <w:right w:val="none" w:color="000000" w:sz="4"/>
                <w:insideH w:val="none"/>
                <w:insideV w:val="none"/>
              </w:tblBorders>
            </w:tblPr>
            <w:tblGrid>
              <w:gridCol w:w="313"/>
              <w:gridCol w:w="903"/>
              <w:gridCol w:w="273"/>
              <w:gridCol w:w="359"/>
            </w:tblGrid>
            <w:tr>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医保</w:t>
                  </w:r>
                  <w:r>
                    <w:rPr>
                      <w:rFonts w:ascii="仿宋_GB2312" w:hAnsi="仿宋_GB2312" w:cs="仿宋_GB2312" w:eastAsia="仿宋_GB2312"/>
                      <w:sz w:val="21"/>
                    </w:rPr>
                    <w:t>业务</w:t>
                  </w:r>
                  <w:r>
                    <w:rPr>
                      <w:rFonts w:ascii="仿宋_GB2312" w:hAnsi="仿宋_GB2312" w:cs="仿宋_GB2312" w:eastAsia="仿宋_GB2312"/>
                      <w:sz w:val="21"/>
                    </w:rPr>
                    <w:t>综合服务终端</w:t>
                  </w:r>
                  <w:r>
                    <w:rPr>
                      <w:rFonts w:ascii="仿宋_GB2312" w:hAnsi="仿宋_GB2312" w:cs="仿宋_GB2312" w:eastAsia="仿宋_GB2312"/>
                      <w:sz w:val="21"/>
                    </w:rPr>
                    <w:t>（</w:t>
                  </w:r>
                  <w:r>
                    <w:rPr>
                      <w:rFonts w:ascii="仿宋_GB2312" w:hAnsi="仿宋_GB2312" w:cs="仿宋_GB2312" w:eastAsia="仿宋_GB2312"/>
                      <w:sz w:val="21"/>
                    </w:rPr>
                    <w:t>A款）</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医保</w:t>
                  </w:r>
                  <w:r>
                    <w:rPr>
                      <w:rFonts w:ascii="仿宋_GB2312" w:hAnsi="仿宋_GB2312" w:cs="仿宋_GB2312" w:eastAsia="仿宋_GB2312"/>
                      <w:sz w:val="21"/>
                    </w:rPr>
                    <w:t>业务</w:t>
                  </w:r>
                  <w:r>
                    <w:rPr>
                      <w:rFonts w:ascii="仿宋_GB2312" w:hAnsi="仿宋_GB2312" w:cs="仿宋_GB2312" w:eastAsia="仿宋_GB2312"/>
                      <w:sz w:val="21"/>
                    </w:rPr>
                    <w:t>综合服务终端</w:t>
                  </w:r>
                  <w:r>
                    <w:rPr>
                      <w:rFonts w:ascii="仿宋_GB2312" w:hAnsi="仿宋_GB2312" w:cs="仿宋_GB2312" w:eastAsia="仿宋_GB2312"/>
                      <w:sz w:val="21"/>
                    </w:rPr>
                    <w:t>（</w:t>
                  </w:r>
                  <w:r>
                    <w:rPr>
                      <w:rFonts w:ascii="仿宋_GB2312" w:hAnsi="仿宋_GB2312" w:cs="仿宋_GB2312" w:eastAsia="仿宋_GB2312"/>
                      <w:sz w:val="21"/>
                    </w:rPr>
                    <w:t>B款）</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r>
          </w:tbl>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）参数要求</w:t>
            </w:r>
          </w:p>
          <w:tbl>
            <w:tblPr>
              <w:tblBorders>
                <w:top w:val="none" w:color="000000" w:sz="4"/>
                <w:left w:val="none" w:color="000000" w:sz="4"/>
                <w:bottom w:val="none" w:color="000000" w:sz="4"/>
                <w:right w:val="none" w:color="000000" w:sz="4"/>
                <w:insideH w:val="none"/>
                <w:insideV w:val="none"/>
              </w:tblBorders>
            </w:tblPr>
            <w:tblGrid>
              <w:gridCol w:w="293"/>
              <w:gridCol w:w="242"/>
              <w:gridCol w:w="356"/>
              <w:gridCol w:w="898"/>
            </w:tblGrid>
            <w:tr>
              <w:tc>
                <w:tcPr>
                  <w:tcW w:type="dxa" w:w="293"/>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货物名称</w:t>
                  </w:r>
                </w:p>
              </w:tc>
              <w:tc>
                <w:tcPr>
                  <w:tcW w:type="dxa" w:w="24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货物能力</w:t>
                  </w:r>
                </w:p>
              </w:tc>
              <w:tc>
                <w:tcPr>
                  <w:tcW w:type="dxa" w:w="1254"/>
                  <w:gridSpan w:val="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b/>
                    </w:rPr>
                    <w:t>技术规格要求</w:t>
                  </w:r>
                </w:p>
              </w:tc>
            </w:tr>
            <w:tr>
              <w:tc>
                <w:tcPr>
                  <w:tcW w:type="dxa" w:w="2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医保综合服务终端</w:t>
                  </w:r>
                  <w:r>
                    <w:rPr>
                      <w:rFonts w:ascii="仿宋_GB2312" w:hAnsi="仿宋_GB2312" w:cs="仿宋_GB2312" w:eastAsia="仿宋_GB2312"/>
                      <w:sz w:val="21"/>
                    </w:rPr>
                    <w:t>（</w:t>
                  </w:r>
                  <w:r>
                    <w:rPr>
                      <w:rFonts w:ascii="仿宋_GB2312" w:hAnsi="仿宋_GB2312" w:cs="仿宋_GB2312" w:eastAsia="仿宋_GB2312"/>
                      <w:sz w:val="21"/>
                    </w:rPr>
                    <w:t>A款）</w:t>
                  </w:r>
                </w:p>
              </w:tc>
              <w:tc>
                <w:tcPr>
                  <w:tcW w:type="dxa" w:w="2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技术指标</w:t>
                  </w:r>
                </w:p>
              </w:tc>
              <w:tc>
                <w:tcPr>
                  <w:tcW w:type="dxa" w:w="1254"/>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触显模块：</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1.5寸触显一体屏；</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摄像头模块：</w:t>
                  </w:r>
                  <w:r>
                    <w:rPr>
                      <w:rFonts w:ascii="仿宋_GB2312" w:hAnsi="仿宋_GB2312" w:cs="仿宋_GB2312" w:eastAsia="仿宋_GB2312"/>
                      <w:sz w:val="21"/>
                    </w:rPr>
                    <w:t>3D结构光人脸识别摄像头</w:t>
                  </w:r>
                  <w:r>
                    <w:rPr>
                      <w:rFonts w:ascii="仿宋_GB2312" w:hAnsi="仿宋_GB2312" w:cs="仿宋_GB2312" w:eastAsia="仿宋_GB2312"/>
                      <w:sz w:val="21"/>
                    </w:rPr>
                    <w:t>，角度可调</w:t>
                  </w:r>
                  <w:r>
                    <w:rPr>
                      <w:rFonts w:ascii="仿宋_GB2312" w:hAnsi="仿宋_GB2312" w:cs="仿宋_GB2312" w:eastAsia="仿宋_GB2312"/>
                      <w:sz w:val="21"/>
                    </w:rPr>
                    <w:t>；</w:t>
                  </w:r>
                </w:p>
                <w:p>
                  <w:pPr>
                    <w:pStyle w:val="null3"/>
                    <w:spacing w:before="165"/>
                  </w:pPr>
                  <w:r>
                    <w:rPr>
                      <w:rFonts w:ascii="仿宋_GB2312" w:hAnsi="仿宋_GB2312" w:cs="仿宋_GB2312" w:eastAsia="仿宋_GB2312"/>
                      <w:sz w:val="21"/>
                    </w:rPr>
                    <w:t>身份证模块：支持二代身份证信息读取；</w:t>
                  </w:r>
                </w:p>
                <w:p>
                  <w:pPr>
                    <w:pStyle w:val="null3"/>
                    <w:spacing w:before="165"/>
                  </w:pPr>
                  <w:r>
                    <w:rPr>
                      <w:rFonts w:ascii="仿宋_GB2312" w:hAnsi="仿宋_GB2312" w:cs="仿宋_GB2312" w:eastAsia="仿宋_GB2312"/>
                      <w:sz w:val="21"/>
                    </w:rPr>
                    <w:t>读卡模块：支持磁条卡、非接、芯片卡阅读；</w:t>
                  </w:r>
                </w:p>
                <w:p>
                  <w:pPr>
                    <w:pStyle w:val="null3"/>
                    <w:spacing w:before="165"/>
                  </w:pPr>
                  <w:r>
                    <w:rPr>
                      <w:rFonts w:ascii="仿宋_GB2312" w:hAnsi="仿宋_GB2312" w:cs="仿宋_GB2312" w:eastAsia="仿宋_GB2312"/>
                      <w:sz w:val="21"/>
                    </w:rPr>
                    <w:t>键盘模块：金属密码键盘，通过银联认证；</w:t>
                  </w:r>
                </w:p>
                <w:p>
                  <w:pPr>
                    <w:pStyle w:val="null3"/>
                    <w:spacing w:before="165"/>
                  </w:pPr>
                  <w:r>
                    <w:rPr>
                      <w:rFonts w:ascii="仿宋_GB2312" w:hAnsi="仿宋_GB2312" w:cs="仿宋_GB2312" w:eastAsia="仿宋_GB2312"/>
                      <w:sz w:val="21"/>
                    </w:rPr>
                    <w:t>扫码模块：支持一维、二维码识别；</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打印模块：支持</w:t>
                  </w:r>
                  <w:r>
                    <w:rPr>
                      <w:rFonts w:ascii="仿宋_GB2312" w:hAnsi="仿宋_GB2312" w:cs="仿宋_GB2312" w:eastAsia="仿宋_GB2312"/>
                      <w:sz w:val="21"/>
                    </w:rPr>
                    <w:t>80mm热敏打印</w:t>
                  </w:r>
                  <w:r>
                    <w:rPr>
                      <w:rFonts w:ascii="仿宋_GB2312" w:hAnsi="仿宋_GB2312" w:cs="仿宋_GB2312" w:eastAsia="仿宋_GB2312"/>
                      <w:sz w:val="21"/>
                    </w:rPr>
                    <w:t>，可对接</w:t>
                  </w:r>
                  <w:r>
                    <w:rPr>
                      <w:rFonts w:ascii="仿宋_GB2312" w:hAnsi="仿宋_GB2312" w:cs="仿宋_GB2312" w:eastAsia="仿宋_GB2312"/>
                      <w:sz w:val="21"/>
                    </w:rPr>
                    <w:t>A4激光打印；</w:t>
                  </w:r>
                </w:p>
                <w:p>
                  <w:pPr>
                    <w:pStyle w:val="null3"/>
                    <w:spacing w:before="165"/>
                  </w:pPr>
                  <w:r>
                    <w:rPr>
                      <w:rFonts w:ascii="仿宋_GB2312" w:hAnsi="仿宋_GB2312" w:cs="仿宋_GB2312" w:eastAsia="仿宋_GB2312"/>
                      <w:sz w:val="21"/>
                    </w:rPr>
                    <w:t>喇叭模块：支持多媒体声音提醒；</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通讯模块：支持</w:t>
                  </w:r>
                  <w:r>
                    <w:rPr>
                      <w:rFonts w:ascii="仿宋_GB2312" w:hAnsi="仿宋_GB2312" w:cs="仿宋_GB2312" w:eastAsia="仿宋_GB2312"/>
                      <w:sz w:val="21"/>
                    </w:rPr>
                    <w:t>WIFI、LAN、</w:t>
                  </w:r>
                  <w:r>
                    <w:rPr>
                      <w:rFonts w:ascii="仿宋_GB2312" w:hAnsi="仿宋_GB2312" w:cs="仿宋_GB2312" w:eastAsia="仿宋_GB2312"/>
                      <w:sz w:val="21"/>
                    </w:rPr>
                    <w:t>VPN</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通讯协议；</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安全模块：符合国密安全技术要求；</w:t>
                  </w:r>
                </w:p>
                <w:p>
                  <w:pPr>
                    <w:pStyle w:val="null3"/>
                    <w:spacing w:before="165"/>
                  </w:pPr>
                  <w:r>
                    <w:rPr>
                      <w:rFonts w:ascii="仿宋_GB2312" w:hAnsi="仿宋_GB2312" w:cs="仿宋_GB2312" w:eastAsia="仿宋_GB2312"/>
                      <w:sz w:val="21"/>
                    </w:rPr>
                    <w:t>物理位置模块：支持基于基站进行定位；</w:t>
                  </w:r>
                </w:p>
                <w:p>
                  <w:pPr>
                    <w:pStyle w:val="null3"/>
                    <w:spacing w:before="165"/>
                  </w:pPr>
                  <w:r>
                    <w:rPr>
                      <w:rFonts w:ascii="仿宋_GB2312" w:hAnsi="仿宋_GB2312" w:cs="仿宋_GB2312" w:eastAsia="仿宋_GB2312"/>
                      <w:sz w:val="21"/>
                    </w:rPr>
                    <w:t>人体感应：非接触式距离传感器</w:t>
                  </w:r>
                  <w:r>
                    <w:rPr>
                      <w:rFonts w:ascii="仿宋_GB2312" w:hAnsi="仿宋_GB2312" w:cs="仿宋_GB2312" w:eastAsia="仿宋_GB2312"/>
                      <w:sz w:val="21"/>
                    </w:rPr>
                    <w:t>,控制人机交互；</w:t>
                  </w:r>
                </w:p>
                <w:p>
                  <w:pPr>
                    <w:pStyle w:val="null3"/>
                    <w:spacing w:before="165"/>
                  </w:pPr>
                  <w:r>
                    <w:rPr>
                      <w:rFonts w:ascii="仿宋_GB2312" w:hAnsi="仿宋_GB2312" w:cs="仿宋_GB2312" w:eastAsia="仿宋_GB2312"/>
                      <w:sz w:val="21"/>
                    </w:rPr>
                    <w:t>▲支持墙面安装，可选装支架；</w:t>
                  </w:r>
                </w:p>
              </w:tc>
            </w:tr>
            <w:tr>
              <w:tc>
                <w:tcPr>
                  <w:tcW w:type="dxa" w:w="293"/>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业务能力</w:t>
                  </w:r>
                  <w:r>
                    <w:rPr>
                      <w:rFonts w:ascii="仿宋_GB2312" w:hAnsi="仿宋_GB2312" w:cs="仿宋_GB2312" w:eastAsia="仿宋_GB2312"/>
                      <w:sz w:val="21"/>
                    </w:rPr>
                    <w:t>（医保便民服务）</w:t>
                  </w:r>
                </w:p>
              </w:tc>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人脸识别</w:t>
                  </w:r>
                </w:p>
              </w:tc>
              <w:tc>
                <w:tcPr>
                  <w:tcW w:type="dxa" w:w="89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color w:val="000000"/>
                    </w:rPr>
                    <w:t>人脸识别获取医保电子凭证</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参保信息查询</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账户信息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参保信息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账户明细</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缴费信息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家庭共济</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家庭共济绑定</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家庭共济绑定信息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医疗信息查询</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消费信息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就医记录</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生育信息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药品消费</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参保业务</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城乡居民参保登记</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城乡居民停保申请</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异地业务</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异地就医备案</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异地就医备案查询</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省内医保转移申请</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跨省医保转移申请</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医保转移查询</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跨省异地就医结算信息查询</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公共查询</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定点医疗机构</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经办机构</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跨省就医统筹区开通信息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跨省异地就医定点机构查询</w:t>
                  </w:r>
                </w:p>
              </w:tc>
            </w:tr>
            <w:tr>
              <w:tc>
                <w:tcPr>
                  <w:tcW w:type="dxa" w:w="293"/>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医保综合服务终端</w:t>
                  </w:r>
                  <w:r>
                    <w:rPr>
                      <w:rFonts w:ascii="仿宋_GB2312" w:hAnsi="仿宋_GB2312" w:cs="仿宋_GB2312" w:eastAsia="仿宋_GB2312"/>
                      <w:sz w:val="21"/>
                    </w:rPr>
                    <w:t>（</w:t>
                  </w:r>
                  <w:r>
                    <w:rPr>
                      <w:rFonts w:ascii="仿宋_GB2312" w:hAnsi="仿宋_GB2312" w:cs="仿宋_GB2312" w:eastAsia="仿宋_GB2312"/>
                      <w:sz w:val="21"/>
                    </w:rPr>
                    <w:t>B</w:t>
                  </w:r>
                  <w:r>
                    <w:rPr>
                      <w:rFonts w:ascii="仿宋_GB2312" w:hAnsi="仿宋_GB2312" w:cs="仿宋_GB2312" w:eastAsia="仿宋_GB2312"/>
                      <w:sz w:val="21"/>
                    </w:rPr>
                    <w:t>款）</w:t>
                  </w:r>
                </w:p>
              </w:tc>
              <w:tc>
                <w:tcPr>
                  <w:tcW w:type="dxa" w:w="24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技术指标</w:t>
                  </w:r>
                </w:p>
              </w:tc>
              <w:tc>
                <w:tcPr>
                  <w:tcW w:type="dxa" w:w="1254"/>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触显模块：</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寸触显一体屏；</w:t>
                  </w:r>
                </w:p>
                <w:p>
                  <w:pPr>
                    <w:pStyle w:val="null3"/>
                  </w:pPr>
                  <w:r>
                    <w:rPr>
                      <w:rFonts w:ascii="仿宋_GB2312" w:hAnsi="仿宋_GB2312" w:cs="仿宋_GB2312" w:eastAsia="仿宋_GB2312"/>
                      <w:sz w:val="21"/>
                    </w:rPr>
                    <w:t>▲</w:t>
                  </w:r>
                  <w:r>
                    <w:rPr>
                      <w:rFonts w:ascii="仿宋_GB2312" w:hAnsi="仿宋_GB2312" w:cs="仿宋_GB2312" w:eastAsia="仿宋_GB2312"/>
                      <w:sz w:val="21"/>
                    </w:rPr>
                    <w:t>摄像头模块：</w:t>
                  </w:r>
                  <w:r>
                    <w:rPr>
                      <w:rFonts w:ascii="仿宋_GB2312" w:hAnsi="仿宋_GB2312" w:cs="仿宋_GB2312" w:eastAsia="仿宋_GB2312"/>
                      <w:sz w:val="21"/>
                    </w:rPr>
                    <w:t>3D结构光人脸识别摄像头</w:t>
                  </w:r>
                  <w:r>
                    <w:rPr>
                      <w:rFonts w:ascii="仿宋_GB2312" w:hAnsi="仿宋_GB2312" w:cs="仿宋_GB2312" w:eastAsia="仿宋_GB2312"/>
                      <w:sz w:val="21"/>
                    </w:rPr>
                    <w:t>，角度可调</w:t>
                  </w:r>
                  <w:r>
                    <w:rPr>
                      <w:rFonts w:ascii="仿宋_GB2312" w:hAnsi="仿宋_GB2312" w:cs="仿宋_GB2312" w:eastAsia="仿宋_GB2312"/>
                      <w:sz w:val="21"/>
                    </w:rPr>
                    <w:t>；</w:t>
                  </w:r>
                </w:p>
                <w:p>
                  <w:pPr>
                    <w:pStyle w:val="null3"/>
                    <w:spacing w:before="165"/>
                  </w:pPr>
                  <w:r>
                    <w:rPr>
                      <w:rFonts w:ascii="仿宋_GB2312" w:hAnsi="仿宋_GB2312" w:cs="仿宋_GB2312" w:eastAsia="仿宋_GB2312"/>
                      <w:sz w:val="21"/>
                    </w:rPr>
                    <w:t>身份证模块：支持二代身份证信息读取；</w:t>
                  </w:r>
                </w:p>
                <w:p>
                  <w:pPr>
                    <w:pStyle w:val="null3"/>
                    <w:spacing w:before="165"/>
                  </w:pPr>
                  <w:r>
                    <w:rPr>
                      <w:rFonts w:ascii="仿宋_GB2312" w:hAnsi="仿宋_GB2312" w:cs="仿宋_GB2312" w:eastAsia="仿宋_GB2312"/>
                      <w:sz w:val="21"/>
                    </w:rPr>
                    <w:t>读卡模块：支持磁条卡、非接、芯片卡阅读；</w:t>
                  </w:r>
                </w:p>
                <w:p>
                  <w:pPr>
                    <w:pStyle w:val="null3"/>
                    <w:spacing w:before="165"/>
                  </w:pPr>
                  <w:r>
                    <w:rPr>
                      <w:rFonts w:ascii="仿宋_GB2312" w:hAnsi="仿宋_GB2312" w:cs="仿宋_GB2312" w:eastAsia="仿宋_GB2312"/>
                      <w:sz w:val="21"/>
                    </w:rPr>
                    <w:t>键盘模块：金属密码键盘，通过银联认证；</w:t>
                  </w:r>
                </w:p>
                <w:p>
                  <w:pPr>
                    <w:pStyle w:val="null3"/>
                    <w:spacing w:before="165"/>
                  </w:pPr>
                  <w:r>
                    <w:rPr>
                      <w:rFonts w:ascii="仿宋_GB2312" w:hAnsi="仿宋_GB2312" w:cs="仿宋_GB2312" w:eastAsia="仿宋_GB2312"/>
                      <w:sz w:val="21"/>
                    </w:rPr>
                    <w:t>扫码模块：支持一维、二维码识别；</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打印模块：支持</w:t>
                  </w:r>
                  <w:r>
                    <w:rPr>
                      <w:rFonts w:ascii="仿宋_GB2312" w:hAnsi="仿宋_GB2312" w:cs="仿宋_GB2312" w:eastAsia="仿宋_GB2312"/>
                      <w:sz w:val="21"/>
                    </w:rPr>
                    <w:t>80mm热敏打印和A4激光打印；</w:t>
                  </w:r>
                </w:p>
                <w:p>
                  <w:pPr>
                    <w:pStyle w:val="null3"/>
                    <w:spacing w:before="165"/>
                  </w:pPr>
                  <w:r>
                    <w:rPr>
                      <w:rFonts w:ascii="仿宋_GB2312" w:hAnsi="仿宋_GB2312" w:cs="仿宋_GB2312" w:eastAsia="仿宋_GB2312"/>
                      <w:sz w:val="21"/>
                    </w:rPr>
                    <w:t>喇叭模块：支持多媒体声音提醒；</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通讯模块：支持</w:t>
                  </w:r>
                  <w:r>
                    <w:rPr>
                      <w:rFonts w:ascii="仿宋_GB2312" w:hAnsi="仿宋_GB2312" w:cs="仿宋_GB2312" w:eastAsia="仿宋_GB2312"/>
                      <w:sz w:val="21"/>
                    </w:rPr>
                    <w:t>WIFI、LAN、</w:t>
                  </w:r>
                  <w:r>
                    <w:rPr>
                      <w:rFonts w:ascii="仿宋_GB2312" w:hAnsi="仿宋_GB2312" w:cs="仿宋_GB2312" w:eastAsia="仿宋_GB2312"/>
                      <w:sz w:val="21"/>
                    </w:rPr>
                    <w:t>VPN</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通讯协议；</w:t>
                  </w:r>
                </w:p>
                <w:p>
                  <w:pPr>
                    <w:pStyle w:val="null3"/>
                    <w:spacing w:before="165"/>
                  </w:pPr>
                  <w:r>
                    <w:rPr>
                      <w:rFonts w:ascii="仿宋_GB2312" w:hAnsi="仿宋_GB2312" w:cs="仿宋_GB2312" w:eastAsia="仿宋_GB2312"/>
                      <w:sz w:val="21"/>
                    </w:rPr>
                    <w:t>▲</w:t>
                  </w:r>
                  <w:r>
                    <w:rPr>
                      <w:rFonts w:ascii="仿宋_GB2312" w:hAnsi="仿宋_GB2312" w:cs="仿宋_GB2312" w:eastAsia="仿宋_GB2312"/>
                      <w:sz w:val="21"/>
                    </w:rPr>
                    <w:t>安全模块：符合国密安全技术要求；</w:t>
                  </w:r>
                </w:p>
                <w:p>
                  <w:pPr>
                    <w:pStyle w:val="null3"/>
                    <w:spacing w:before="165"/>
                  </w:pPr>
                  <w:r>
                    <w:rPr>
                      <w:rFonts w:ascii="仿宋_GB2312" w:hAnsi="仿宋_GB2312" w:cs="仿宋_GB2312" w:eastAsia="仿宋_GB2312"/>
                      <w:sz w:val="21"/>
                    </w:rPr>
                    <w:t>物理位置模块：支持基于基站进行定位；</w:t>
                  </w:r>
                </w:p>
                <w:p>
                  <w:pPr>
                    <w:pStyle w:val="null3"/>
                    <w:spacing w:before="165"/>
                  </w:pPr>
                  <w:r>
                    <w:rPr>
                      <w:rFonts w:ascii="仿宋_GB2312" w:hAnsi="仿宋_GB2312" w:cs="仿宋_GB2312" w:eastAsia="仿宋_GB2312"/>
                      <w:sz w:val="21"/>
                    </w:rPr>
                    <w:t>人体感应：非接触式距离传感器</w:t>
                  </w:r>
                  <w:r>
                    <w:rPr>
                      <w:rFonts w:ascii="仿宋_GB2312" w:hAnsi="仿宋_GB2312" w:cs="仿宋_GB2312" w:eastAsia="仿宋_GB2312"/>
                      <w:sz w:val="21"/>
                    </w:rPr>
                    <w:t>,控制人机交互；</w:t>
                  </w:r>
                </w:p>
              </w:tc>
            </w:tr>
            <w:tr>
              <w:tc>
                <w:tcPr>
                  <w:tcW w:type="dxa" w:w="293"/>
                  <w:vMerge/>
                  <w:tcBorders>
                    <w:top w:val="none" w:color="000000" w:sz="4"/>
                    <w:left w:val="single" w:color="000000" w:sz="4"/>
                    <w:bottom w:val="single" w:color="000000" w:sz="4"/>
                    <w:right w:val="single" w:color="000000" w:sz="4"/>
                  </w:tcBorders>
                </w:tcPr>
                <w:p/>
              </w:tc>
              <w:tc>
                <w:tcPr>
                  <w:tcW w:type="dxa" w:w="242"/>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业务能力（医保便民服务）</w:t>
                  </w:r>
                </w:p>
              </w:tc>
              <w:tc>
                <w:tcPr>
                  <w:tcW w:type="dxa" w:w="356"/>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spacing w:before="165"/>
                    <w:jc w:val="center"/>
                  </w:pPr>
                  <w:r>
                    <w:rPr>
                      <w:rFonts w:ascii="仿宋_GB2312" w:hAnsi="仿宋_GB2312" w:cs="仿宋_GB2312" w:eastAsia="仿宋_GB2312"/>
                      <w:sz w:val="21"/>
                    </w:rPr>
                    <w:t>人脸识别</w:t>
                  </w:r>
                </w:p>
              </w:tc>
              <w:tc>
                <w:tcPr>
                  <w:tcW w:type="dxa" w:w="898"/>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▲支持</w:t>
                  </w:r>
                  <w:r>
                    <w:rPr>
                      <w:rFonts w:ascii="仿宋_GB2312" w:hAnsi="仿宋_GB2312" w:cs="仿宋_GB2312" w:eastAsia="仿宋_GB2312"/>
                      <w:sz w:val="21"/>
                      <w:color w:val="000000"/>
                    </w:rPr>
                    <w:t>人脸识别获取医保电子凭证</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医保信息查询</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账户信息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参保信息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账户明细</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缴费信息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家庭共济</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家庭共济绑定</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家庭共济绑定信息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医疗信息查询</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消费信息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就医记录</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生育信息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药品消费</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业务办理</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color w:val="000000"/>
                    </w:rPr>
                    <w:t>城乡居民参保登记</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城乡居民停保申请</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异地业务</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异地就医备案</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异地就医备案查询</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省内医保转移申请</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跨省医保转移申请</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医保转移查询</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rPr>
                    <w:t>跨省异地就医结算信息查询</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公共查询</w:t>
                  </w: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定点医疗机构</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color w:val="000000"/>
                    </w:rPr>
                    <w:t>经办机构</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跨省就医统筹区开通信息</w:t>
                  </w:r>
                </w:p>
              </w:tc>
            </w:tr>
            <w:tr>
              <w:tc>
                <w:tcPr>
                  <w:tcW w:type="dxa" w:w="293"/>
                  <w:vMerge/>
                  <w:tcBorders>
                    <w:top w:val="none" w:color="000000" w:sz="4"/>
                    <w:left w:val="single" w:color="000000" w:sz="4"/>
                    <w:bottom w:val="single" w:color="000000" w:sz="4"/>
                    <w:right w:val="single" w:color="000000" w:sz="4"/>
                  </w:tcBorders>
                </w:tcPr>
                <w:p/>
              </w:tc>
              <w:tc>
                <w:tcPr>
                  <w:tcW w:type="dxa" w:w="242"/>
                  <w:vMerge/>
                  <w:tcBorders>
                    <w:top w:val="none" w:color="000000" w:sz="4"/>
                    <w:left w:val="single" w:color="000000" w:sz="4"/>
                    <w:bottom w:val="single" w:color="000000" w:sz="4"/>
                    <w:right w:val="single" w:color="000000" w:sz="4"/>
                  </w:tcBorders>
                </w:tcPr>
                <w:p/>
              </w:tc>
              <w:tc>
                <w:tcPr>
                  <w:tcW w:type="dxa" w:w="356"/>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跨省异地就医定点机构查询</w:t>
                  </w:r>
                </w:p>
              </w:tc>
            </w:tr>
            <w:tr>
              <w:tc>
                <w:tcPr>
                  <w:tcW w:type="dxa" w:w="535"/>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实施</w:t>
                  </w:r>
                  <w:r>
                    <w:rPr>
                      <w:rFonts w:ascii="仿宋_GB2312" w:hAnsi="仿宋_GB2312" w:cs="仿宋_GB2312" w:eastAsia="仿宋_GB2312"/>
                      <w:sz w:val="21"/>
                    </w:rPr>
                    <w:t>安装</w:t>
                  </w:r>
                </w:p>
              </w:tc>
              <w:tc>
                <w:tcPr>
                  <w:tcW w:type="dxa" w:w="1254"/>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1"/>
                    </w:rPr>
                    <w:t>负责医保综合服务终端</w:t>
                  </w:r>
                  <w:r>
                    <w:rPr>
                      <w:rFonts w:ascii="仿宋_GB2312" w:hAnsi="仿宋_GB2312" w:cs="仿宋_GB2312" w:eastAsia="仿宋_GB2312"/>
                      <w:sz w:val="21"/>
                    </w:rPr>
                    <w:t>的运输、连接</w:t>
                  </w:r>
                  <w:r>
                    <w:rPr>
                      <w:rFonts w:ascii="仿宋_GB2312" w:hAnsi="仿宋_GB2312" w:cs="仿宋_GB2312" w:eastAsia="仿宋_GB2312"/>
                      <w:sz w:val="21"/>
                    </w:rPr>
                    <w:t>医保</w:t>
                  </w:r>
                  <w:r>
                    <w:rPr>
                      <w:rFonts w:ascii="仿宋_GB2312" w:hAnsi="仿宋_GB2312" w:cs="仿宋_GB2312" w:eastAsia="仿宋_GB2312"/>
                      <w:sz w:val="21"/>
                    </w:rPr>
                    <w:t>网络、激活等服务，包括终端与</w:t>
                  </w:r>
                  <w:r>
                    <w:rPr>
                      <w:rFonts w:ascii="仿宋_GB2312" w:hAnsi="仿宋_GB2312" w:cs="仿宋_GB2312" w:eastAsia="仿宋_GB2312"/>
                      <w:sz w:val="21"/>
                    </w:rPr>
                    <w:t>医保经办机构、</w:t>
                  </w:r>
                  <w:r>
                    <w:rPr>
                      <w:rFonts w:ascii="仿宋_GB2312" w:hAnsi="仿宋_GB2312" w:cs="仿宋_GB2312" w:eastAsia="仿宋_GB2312"/>
                      <w:sz w:val="21"/>
                    </w:rPr>
                    <w:t>定点医药机构系统联调测试服务，保证系统按时、正常的投入运行。</w:t>
                  </w:r>
                </w:p>
              </w:tc>
            </w:tr>
            <w:tr>
              <w:tc>
                <w:tcPr>
                  <w:tcW w:type="dxa" w:w="535"/>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技术实力</w:t>
                  </w:r>
                </w:p>
              </w:tc>
              <w:tc>
                <w:tcPr>
                  <w:tcW w:type="dxa" w:w="1254"/>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1"/>
                    </w:rPr>
                    <w:t>▲</w:t>
                  </w:r>
                  <w:r>
                    <w:rPr>
                      <w:rFonts w:ascii="仿宋_GB2312" w:hAnsi="仿宋_GB2312" w:cs="仿宋_GB2312" w:eastAsia="仿宋_GB2312"/>
                      <w:sz w:val="21"/>
                    </w:rPr>
                    <w:t>供医保业务综合服务终端应用软件著作证书；</w:t>
                  </w:r>
                </w:p>
                <w:p>
                  <w:pPr>
                    <w:pStyle w:val="null3"/>
                  </w:pPr>
                  <w:r>
                    <w:rPr>
                      <w:rFonts w:ascii="仿宋_GB2312" w:hAnsi="仿宋_GB2312" w:cs="仿宋_GB2312" w:eastAsia="仿宋_GB2312"/>
                      <w:sz w:val="21"/>
                    </w:rPr>
                    <w:t>▲</w:t>
                  </w:r>
                  <w:r>
                    <w:rPr>
                      <w:rFonts w:ascii="仿宋_GB2312" w:hAnsi="仿宋_GB2312" w:cs="仿宋_GB2312" w:eastAsia="仿宋_GB2312"/>
                      <w:sz w:val="21"/>
                    </w:rPr>
                    <w:t>提供医保业务综合服务终端基础应用软件著作证书；</w:t>
                  </w:r>
                </w:p>
                <w:p>
                  <w:pPr>
                    <w:pStyle w:val="null3"/>
                  </w:pP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WIFI网络安全认证软件</w:t>
                  </w:r>
                  <w:r>
                    <w:rPr>
                      <w:rFonts w:ascii="仿宋_GB2312" w:hAnsi="仿宋_GB2312" w:cs="仿宋_GB2312" w:eastAsia="仿宋_GB2312"/>
                      <w:sz w:val="21"/>
                    </w:rPr>
                    <w:t>著作证书；</w:t>
                  </w:r>
                </w:p>
              </w:tc>
            </w:tr>
            <w:tr>
              <w:tc>
                <w:tcPr>
                  <w:tcW w:type="dxa" w:w="535"/>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维保服务</w:t>
                  </w:r>
                </w:p>
              </w:tc>
              <w:tc>
                <w:tcPr>
                  <w:tcW w:type="dxa" w:w="1254"/>
                  <w:gridSpan w:val="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pPr>
                  <w:r>
                    <w:rPr>
                      <w:rFonts w:ascii="仿宋_GB2312" w:hAnsi="仿宋_GB2312" w:cs="仿宋_GB2312" w:eastAsia="仿宋_GB2312"/>
                      <w:sz w:val="21"/>
                    </w:rPr>
                    <w:t>▲支持通过4G</w:t>
                  </w:r>
                  <w:r>
                    <w:rPr>
                      <w:rFonts w:ascii="仿宋_GB2312" w:hAnsi="仿宋_GB2312" w:cs="仿宋_GB2312" w:eastAsia="仿宋_GB2312"/>
                      <w:sz w:val="21"/>
                    </w:rPr>
                    <w:t>通讯</w:t>
                  </w:r>
                  <w:r>
                    <w:rPr>
                      <w:rFonts w:ascii="仿宋_GB2312" w:hAnsi="仿宋_GB2312" w:cs="仿宋_GB2312" w:eastAsia="仿宋_GB2312"/>
                      <w:sz w:val="21"/>
                    </w:rPr>
                    <w:t>协议接入省医保平台核心区专网。</w:t>
                  </w:r>
                </w:p>
                <w:p>
                  <w:pPr>
                    <w:pStyle w:val="null3"/>
                  </w:pPr>
                  <w:r>
                    <w:rPr>
                      <w:rFonts w:ascii="仿宋_GB2312" w:hAnsi="仿宋_GB2312" w:cs="仿宋_GB2312" w:eastAsia="仿宋_GB2312"/>
                      <w:sz w:val="21"/>
                    </w:rPr>
                    <w:t>▲提供三年免费硬件质保服务和运维服务，确保所有终端设备网络运行稳定。（提供原厂售后服务承诺函）</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）其他服务要求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、交付能力要求。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）投标方维保期间需提供原厂维保；</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）投标方在服务有效期内，按</w:t>
            </w:r>
            <w:r>
              <w:rPr>
                <w:rFonts w:ascii="仿宋_GB2312" w:hAnsi="仿宋_GB2312" w:cs="仿宋_GB2312" w:eastAsia="仿宋_GB2312"/>
                <w:sz w:val="21"/>
              </w:rPr>
              <w:t>季度</w:t>
            </w:r>
            <w:r>
              <w:rPr>
                <w:rFonts w:ascii="仿宋_GB2312" w:hAnsi="仿宋_GB2312" w:cs="仿宋_GB2312" w:eastAsia="仿宋_GB2312"/>
                <w:sz w:val="21"/>
              </w:rPr>
              <w:t>对软件进行巡检服务</w:t>
            </w:r>
            <w:r>
              <w:rPr>
                <w:rFonts w:ascii="仿宋_GB2312" w:hAnsi="仿宋_GB2312" w:cs="仿宋_GB2312" w:eastAsia="仿宋_GB2312"/>
                <w:sz w:val="21"/>
              </w:rPr>
              <w:t>，并</w:t>
            </w:r>
            <w:r>
              <w:rPr>
                <w:rFonts w:ascii="仿宋_GB2312" w:hAnsi="仿宋_GB2312" w:cs="仿宋_GB2312" w:eastAsia="仿宋_GB2312"/>
                <w:sz w:val="21"/>
              </w:rPr>
              <w:t>提供巡检报告；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）投标方提供的产品若具有固有的设计缺陷，则不能因超过质保期而解除投标方对该产品应承担的修复和更换责任</w:t>
            </w:r>
            <w:r>
              <w:rPr>
                <w:rFonts w:ascii="仿宋_GB2312" w:hAnsi="仿宋_GB2312" w:cs="仿宋_GB2312" w:eastAsia="仿宋_GB2312"/>
                <w:sz w:val="21"/>
              </w:rPr>
              <w:t>，并承诺提供备件服务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）投标方</w:t>
            </w:r>
            <w:r>
              <w:rPr>
                <w:rFonts w:ascii="仿宋_GB2312" w:hAnsi="仿宋_GB2312" w:cs="仿宋_GB2312" w:eastAsia="仿宋_GB2312"/>
                <w:sz w:val="21"/>
              </w:rPr>
              <w:t>须在中标后</w:t>
            </w:r>
            <w:r>
              <w:rPr>
                <w:rFonts w:ascii="仿宋_GB2312" w:hAnsi="仿宋_GB2312" w:cs="仿宋_GB2312" w:eastAsia="仿宋_GB2312"/>
                <w:sz w:val="21"/>
              </w:rPr>
              <w:t>30</w:t>
            </w:r>
            <w:r>
              <w:rPr>
                <w:rFonts w:ascii="仿宋_GB2312" w:hAnsi="仿宋_GB2312" w:cs="仿宋_GB2312" w:eastAsia="仿宋_GB2312"/>
                <w:sz w:val="21"/>
              </w:rPr>
              <w:t>天内</w:t>
            </w:r>
            <w:r>
              <w:rPr>
                <w:rFonts w:ascii="仿宋_GB2312" w:hAnsi="仿宋_GB2312" w:cs="仿宋_GB2312" w:eastAsia="仿宋_GB2312"/>
                <w:sz w:val="21"/>
              </w:rPr>
              <w:t>完成所有设备实施安装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、服务能力要求。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）设备测试要求</w:t>
            </w:r>
          </w:p>
          <w:p>
            <w:pPr>
              <w:pStyle w:val="null3"/>
              <w:ind w:firstLine="420"/>
              <w:jc w:val="both"/>
            </w:pPr>
            <w:r>
              <w:rPr>
                <w:rFonts w:ascii="仿宋_GB2312" w:hAnsi="仿宋_GB2312" w:cs="仿宋_GB2312" w:eastAsia="仿宋_GB2312"/>
                <w:sz w:val="21"/>
              </w:rPr>
              <w:t>投标方所投产品应</w:t>
            </w:r>
            <w:r>
              <w:rPr>
                <w:rFonts w:ascii="仿宋_GB2312" w:hAnsi="仿宋_GB2312" w:cs="仿宋_GB2312" w:eastAsia="仿宋_GB2312"/>
                <w:sz w:val="21"/>
              </w:rPr>
              <w:t>支持医保便民服务业务</w:t>
            </w:r>
            <w:r>
              <w:rPr>
                <w:rFonts w:ascii="仿宋_GB2312" w:hAnsi="仿宋_GB2312" w:cs="仿宋_GB2312" w:eastAsia="仿宋_GB2312"/>
                <w:sz w:val="21"/>
              </w:rPr>
              <w:t>，未完成对接</w:t>
            </w:r>
            <w:r>
              <w:rPr>
                <w:rFonts w:ascii="仿宋_GB2312" w:hAnsi="仿宋_GB2312" w:cs="仿宋_GB2312" w:eastAsia="仿宋_GB2312"/>
                <w:sz w:val="21"/>
              </w:rPr>
              <w:t>导致项目</w:t>
            </w:r>
            <w:r>
              <w:rPr>
                <w:rFonts w:ascii="仿宋_GB2312" w:hAnsi="仿宋_GB2312" w:cs="仿宋_GB2312" w:eastAsia="仿宋_GB2312"/>
                <w:sz w:val="21"/>
              </w:rPr>
              <w:t>无法上线的，招标人有权取消投标人资格。</w:t>
            </w:r>
          </w:p>
          <w:p>
            <w:pPr>
              <w:pStyle w:val="null3"/>
              <w:numPr>
                <w:ilvl w:val="0"/>
                <w:numId w:val="1"/>
              </w:numPr>
              <w:jc w:val="both"/>
            </w:pPr>
            <w:r>
              <w:rPr>
                <w:rFonts w:ascii="仿宋_GB2312" w:hAnsi="仿宋_GB2312" w:cs="仿宋_GB2312" w:eastAsia="仿宋_GB2312"/>
                <w:sz w:val="21"/>
              </w:rPr>
              <w:t>系统软件测试</w:t>
            </w:r>
            <w:r>
              <w:rPr>
                <w:rFonts w:ascii="仿宋_GB2312" w:hAnsi="仿宋_GB2312" w:cs="仿宋_GB2312" w:eastAsia="仿宋_GB2312"/>
                <w:sz w:val="21"/>
              </w:rPr>
              <w:t>要求</w:t>
            </w:r>
          </w:p>
          <w:p>
            <w:pPr>
              <w:pStyle w:val="null3"/>
              <w:ind w:firstLine="420"/>
              <w:jc w:val="both"/>
            </w:pPr>
            <w:r>
              <w:rPr>
                <w:rFonts w:ascii="仿宋_GB2312" w:hAnsi="仿宋_GB2312" w:cs="仿宋_GB2312" w:eastAsia="仿宋_GB2312"/>
                <w:sz w:val="21"/>
              </w:rPr>
              <w:t>应由投标方提供测试方案，经招标方确认后，在招标方的监督下进行。软件测试的条款应与技术要求一致，测试范围应以最终确认的需求为基础，测试指标应以技术要求及认可的答复为标准。</w:t>
            </w:r>
          </w:p>
          <w:p>
            <w:pPr>
              <w:pStyle w:val="null3"/>
              <w:numPr>
                <w:ilvl w:val="0"/>
                <w:numId w:val="1"/>
              </w:numPr>
              <w:jc w:val="both"/>
            </w:pPr>
            <w:r>
              <w:rPr>
                <w:rFonts w:ascii="仿宋_GB2312" w:hAnsi="仿宋_GB2312" w:cs="仿宋_GB2312" w:eastAsia="仿宋_GB2312"/>
                <w:sz w:val="21"/>
              </w:rPr>
              <w:t>个性化服务要求</w:t>
            </w:r>
          </w:p>
          <w:p>
            <w:pPr>
              <w:pStyle w:val="null3"/>
              <w:ind w:left="420" w:firstLine="420"/>
              <w:jc w:val="left"/>
            </w:pPr>
            <w:r>
              <w:rPr>
                <w:rFonts w:ascii="仿宋_GB2312" w:hAnsi="仿宋_GB2312" w:cs="仿宋_GB2312" w:eastAsia="仿宋_GB2312"/>
                <w:sz w:val="21"/>
              </w:rPr>
              <w:t>在质保期内支持招标方提出的可以在医保业务综合服务终端上实现的个性化业务需求。</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、设备验收要求</w:t>
            </w:r>
          </w:p>
          <w:p>
            <w:pPr>
              <w:pStyle w:val="null3"/>
              <w:ind w:firstLine="420"/>
              <w:jc w:val="both"/>
            </w:pPr>
            <w:r>
              <w:rPr>
                <w:rFonts w:ascii="仿宋_GB2312" w:hAnsi="仿宋_GB2312" w:cs="仿宋_GB2312" w:eastAsia="仿宋_GB2312"/>
                <w:sz w:val="21"/>
              </w:rPr>
              <w:t>完成设备采购及安装调试，所有产品</w:t>
            </w:r>
            <w:r>
              <w:rPr>
                <w:rFonts w:ascii="仿宋_GB2312" w:hAnsi="仿宋_GB2312" w:cs="仿宋_GB2312" w:eastAsia="仿宋_GB2312"/>
                <w:sz w:val="21"/>
              </w:rPr>
              <w:t>技术</w:t>
            </w:r>
            <w:r>
              <w:rPr>
                <w:rFonts w:ascii="仿宋_GB2312" w:hAnsi="仿宋_GB2312" w:cs="仿宋_GB2312" w:eastAsia="仿宋_GB2312"/>
                <w:sz w:val="21"/>
              </w:rPr>
              <w:t>功能和</w:t>
            </w:r>
            <w:r>
              <w:rPr>
                <w:rFonts w:ascii="仿宋_GB2312" w:hAnsi="仿宋_GB2312" w:cs="仿宋_GB2312" w:eastAsia="仿宋_GB2312"/>
                <w:sz w:val="21"/>
              </w:rPr>
              <w:t>业务能力满足</w:t>
            </w:r>
            <w:r>
              <w:rPr>
                <w:rFonts w:ascii="仿宋_GB2312" w:hAnsi="仿宋_GB2312" w:cs="仿宋_GB2312" w:eastAsia="仿宋_GB2312"/>
                <w:sz w:val="21"/>
              </w:rPr>
              <w:t>招标技术要求。</w:t>
            </w:r>
          </w:p>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设备安装，整体验收合格后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人未按合同要求提供货物与服务或货物与服务质量不能满足合同要求，且在规定时间内未使采购人满意的，采购人有权在对其支付的服务款项中进行违约扣除，必要时可以终止采购合同并上报同级监管部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的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供应商为合法注册的法人或其他组织或自然人，提供营业执照（或事业法人证）；自然人的身份证明；供应商需在项目电子化交易系统中按要求上传相应证明文件并进行电子签章；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提供“信用中国”网站（www.creditchina.gov.cn）中未被列入“重大税收违法案件当事人名单”和“失信被执行人”截图；（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供应商参加政府采购活动前三年内在经营活动中没有重大违法记录的书面声明。（格式自拟）；供应商需在项目电子化交易系统中按要求上传相应证明文件并进行电子签章；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供应商需提供截止至投标截止时间前六个月内任意一个月的税收缴纳缴费凭据；（依法免税的供应商应提供相关文件证明）；供应商需在项目电子化交易系统中按要求上传相应证明文件并进行电子签章；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需提供截止至投标截止时间前六个月内任意一个月的社保缴费凭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开标一览表 法人证明书.docx 服务内容及服务邀请应答表 设备报价一览表.docx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开标一览表 设备报价一览表.docx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 xml:space="preserve"> 供货期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法人授权书.docx 开标一览表 服务内容及服务邀请应答表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开标一览表 法人证明书.docx 服务内容及服务邀请应答表 设备报价一览表.docx 供应商类似项目业绩一览表.docx 中小企业声明函 商务应答表 投标人应提交的相关资格证明材料 法人授权书.docx 投标函 残疾人福利性单位声明函 服务方案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技术响应性</w:t>
            </w:r>
          </w:p>
        </w:tc>
        <w:tc>
          <w:tcPr>
            <w:tcW w:type="dxa" w:w="2492"/>
          </w:tcPr>
          <w:p>
            <w:pPr>
              <w:pStyle w:val="null3"/>
            </w:pPr>
            <w:r>
              <w:rPr>
                <w:rFonts w:ascii="仿宋_GB2312" w:hAnsi="仿宋_GB2312" w:cs="仿宋_GB2312" w:eastAsia="仿宋_GB2312"/>
              </w:rPr>
              <w:t>根据供应商提供所投产品的技术偏离表及相应的证明材料。 基本分（30分）：完全符合、响应招标文件要求，没有负偏离计30分，“▲”参数每负偏离一项扣1分，未带标识参数每负偏离一项扣0.5分，扣完为止。 备注：▲参数必须提供佐证材料（包括但不限于产品彩页、检测报告、功能截图等），未提供佐证材料或提供的佐证材料低于招标要求时按负偏离处理。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项目实施过程中质量保证；⑤安装调试方案；⑥项目验收方案。完整提供上述6项内容的得9分；每有一项未提供扣1.5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售后人员配置安排计划；⑤故障处理响应时间。完整提供上述5项内容的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 ×价格分值【注：满足招标文件 要求且投标价格最低的投标报价为评标基准价。】最低报价不是中标的唯一依据。因落实政府采购政策进行价格调整的，以调整后的价格计算评标基准价和投标报价。 计算分数时四舍五入取小数点后两位。 注：（1）根据《政府采购促进中小企业发展管理办法》的通知--财库〔2020〕46号的相关规定，对小型和微型企业的价格给予10%的扣除，用扣除后的价格参与评审。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 （3）《关于进一步加大政府采购支持中小企业力度的通知》（财库〔2022〕19号）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详见附件：法人证明书.docx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详见附件：设备报价一览表.docx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