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版本号：SXGLZFCG2025-014号20250416001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2025年新区绿化提升改造工程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SXGLZFCG2025-014号</w:t>
      </w:r>
      <w:r>
        <w:br/>
      </w:r>
      <w:r>
        <w:br/>
      </w:r>
      <w:r>
        <w:br/>
      </w:r>
    </w:p>
    <w:p>
      <w:pPr>
        <w:pStyle w:val="null3"/>
        <w:jc w:val="center"/>
        <w:outlineLvl w:val="2"/>
      </w:pPr>
      <w:r>
        <w:rPr>
          <w:rFonts w:ascii="仿宋_GB2312" w:hAnsi="仿宋_GB2312" w:cs="仿宋_GB2312" w:eastAsia="仿宋_GB2312"/>
          <w:sz w:val="28"/>
          <w:b/>
        </w:rPr>
        <w:t>铜川市城市管理执法局</w:t>
      </w:r>
    </w:p>
    <w:p>
      <w:pPr>
        <w:pStyle w:val="null3"/>
        <w:jc w:val="center"/>
        <w:outlineLvl w:val="2"/>
      </w:pPr>
      <w:r>
        <w:rPr>
          <w:rFonts w:ascii="仿宋_GB2312" w:hAnsi="仿宋_GB2312" w:cs="仿宋_GB2312" w:eastAsia="仿宋_GB2312"/>
          <w:sz w:val="28"/>
          <w:b/>
        </w:rPr>
        <w:t>陕西公立工程项目管理咨询有限公司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陕西公立工程项目管理咨询有限公司</w:t>
      </w:r>
      <w:r>
        <w:rPr>
          <w:rFonts w:ascii="仿宋_GB2312" w:hAnsi="仿宋_GB2312" w:cs="仿宋_GB2312" w:eastAsia="仿宋_GB2312"/>
        </w:rPr>
        <w:t>（以下简称“代理机构”）受</w:t>
      </w:r>
      <w:r>
        <w:rPr>
          <w:rFonts w:ascii="仿宋_GB2312" w:hAnsi="仿宋_GB2312" w:cs="仿宋_GB2312" w:eastAsia="仿宋_GB2312"/>
        </w:rPr>
        <w:t>铜川市城市管理执法局</w:t>
      </w:r>
      <w:r>
        <w:rPr>
          <w:rFonts w:ascii="仿宋_GB2312" w:hAnsi="仿宋_GB2312" w:cs="仿宋_GB2312" w:eastAsia="仿宋_GB2312"/>
        </w:rPr>
        <w:t>委托，拟对</w:t>
      </w:r>
      <w:r>
        <w:rPr>
          <w:rFonts w:ascii="仿宋_GB2312" w:hAnsi="仿宋_GB2312" w:cs="仿宋_GB2312" w:eastAsia="仿宋_GB2312"/>
        </w:rPr>
        <w:t>2025年新区绿化提升改造工程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SXGLZFCG2025-014号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2025年新区绿化提升改造工程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新区正阳路、华夏南道、长虹路、长丰路等主要路段绿化进行改造提升，包括铺种草皮960㎡，栽植栽植地被石竹10100㎡，栽植高山黄杨5895㎡、栽植金边黄杨6060㎡、栽植红叶石楠5246㎡等。（具体以工程量清单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采购包1（2025年新区绿化提升改造工程）：属于专门面向中小企业采购。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1、合格供应商：具有独立承担民事责任能力的法人、其他组织或自然人，并出具合法有效的营业执 照或事业单位法人证书等国家规定的相关证明，自然人参与的提供其身份证明;</w:t>
      </w:r>
    </w:p>
    <w:p>
      <w:pPr>
        <w:pStyle w:val="null3"/>
      </w:pPr>
      <w:r>
        <w:rPr>
          <w:rFonts w:ascii="仿宋_GB2312" w:hAnsi="仿宋_GB2312" w:cs="仿宋_GB2312" w:eastAsia="仿宋_GB2312"/>
        </w:rPr>
        <w:t>2、法人身份证明或授权委托：法定代表人参加磋商须出具法定代表人身份证明（并附有效证件），被授权代理人 参加磋商须出具法定代表人授权书及被授权人有效证件;</w:t>
      </w:r>
    </w:p>
    <w:p>
      <w:pPr>
        <w:pStyle w:val="null3"/>
      </w:pPr>
      <w:r>
        <w:rPr>
          <w:rFonts w:ascii="仿宋_GB2312" w:hAnsi="仿宋_GB2312" w:cs="仿宋_GB2312" w:eastAsia="仿宋_GB2312"/>
        </w:rPr>
        <w:t>3、供应商信誉：供应商不得为“信用中国”网站（www.creditchina.gov.cn）中列入失信被执行人 和重大税收违法失信主体名单的供应商，不得为中国政府采购网（www.ccgp.go v.cn）政府采购严重违法失信行为记录名单中被财政部门禁止参加政府采购活动的 供应商;</w:t>
      </w:r>
    </w:p>
    <w:p>
      <w:pPr>
        <w:pStyle w:val="null3"/>
      </w:pPr>
      <w:r>
        <w:rPr>
          <w:rFonts w:ascii="仿宋_GB2312" w:hAnsi="仿宋_GB2312" w:cs="仿宋_GB2312" w:eastAsia="仿宋_GB2312"/>
        </w:rPr>
        <w:t>4、财务状况报告：供应商提供2022年至今任意一年的财务审计报告(成立时间至提交响应文件截止时 间不足年的可提供成立后任意时段的资产负债表)，或其基本存款账户开户银行出 具的资信或资金证明(复印件加盖供应商公章);</w:t>
      </w:r>
    </w:p>
    <w:p>
      <w:pPr>
        <w:pStyle w:val="null3"/>
      </w:pPr>
      <w:r>
        <w:rPr>
          <w:rFonts w:ascii="仿宋_GB2312" w:hAnsi="仿宋_GB2312" w:cs="仿宋_GB2312" w:eastAsia="仿宋_GB2312"/>
        </w:rPr>
        <w:t>5、履行能力：具有履行合同所必需的设备和专业技术能力，提供证明材料或书面承诺并加盖公章 ;</w:t>
      </w:r>
    </w:p>
    <w:p>
      <w:pPr>
        <w:pStyle w:val="null3"/>
      </w:pPr>
      <w:r>
        <w:rPr>
          <w:rFonts w:ascii="仿宋_GB2312" w:hAnsi="仿宋_GB2312" w:cs="仿宋_GB2312" w:eastAsia="仿宋_GB2312"/>
        </w:rPr>
        <w:t>6、无重大违法记录声明：参加政府采购活动近三年内，在经营活动中没有重大违法记录，提供书面声明;</w:t>
      </w:r>
    </w:p>
    <w:p>
      <w:pPr>
        <w:pStyle w:val="null3"/>
      </w:pPr>
      <w:r>
        <w:rPr>
          <w:rFonts w:ascii="仿宋_GB2312" w:hAnsi="仿宋_GB2312" w:cs="仿宋_GB2312" w:eastAsia="仿宋_GB2312"/>
        </w:rPr>
        <w:t>7、税收缴纳证明：提供响应文件递交截止时间前6个月内任意1个月已缴纳完税凭证（任意税种）或 税务机关开具的完税证明（任意税种）;</w:t>
      </w:r>
    </w:p>
    <w:p>
      <w:pPr>
        <w:pStyle w:val="null3"/>
      </w:pPr>
      <w:r>
        <w:rPr>
          <w:rFonts w:ascii="仿宋_GB2312" w:hAnsi="仿宋_GB2312" w:cs="仿宋_GB2312" w:eastAsia="仿宋_GB2312"/>
        </w:rPr>
        <w:t>8、社会保障资金缴纳证明：提供响应文件递交截止时间前6个月内任意1个月已缴存的任意时段的社会保障资 金缴存单据或社保机构开具的社会保险参保缴费情况证明;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铜川市城市管理执法局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铜川新区长虹路6号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0919-3166232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陕西公立工程项目管理咨询有限公司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陕西省铜川市新区铁诺南路6号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0919-2182986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采购包1：3,389,554.00元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铜川市城市管理执法局</w:t>
      </w:r>
      <w:r>
        <w:rPr>
          <w:rFonts w:ascii="仿宋_GB2312" w:hAnsi="仿宋_GB2312" w:cs="仿宋_GB2312" w:eastAsia="仿宋_GB2312"/>
        </w:rPr>
        <w:t>和</w:t>
      </w:r>
      <w:r>
        <w:rPr>
          <w:rFonts w:ascii="仿宋_GB2312" w:hAnsi="仿宋_GB2312" w:cs="仿宋_GB2312" w:eastAsia="仿宋_GB2312"/>
        </w:rPr>
        <w:t>陕西公立工程项目管理咨询有限公司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铜川市城市管理执法局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陕西公立工程项目管理咨询有限公司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铜川市城市管理执法局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陕西公立工程项目管理咨询有限公司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以双方最终签订和合同内具体条款约定为准。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联系电话：0919-2182986</w:t>
      </w:r>
    </w:p>
    <w:p>
      <w:pPr>
        <w:pStyle w:val="null3"/>
      </w:pPr>
      <w:r>
        <w:rPr>
          <w:rFonts w:ascii="仿宋_GB2312" w:hAnsi="仿宋_GB2312" w:cs="仿宋_GB2312" w:eastAsia="仿宋_GB2312"/>
        </w:rPr>
        <w:t>地址：陕西省铜川市新区铁诺南路6号</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3,389,554.00</w:t>
      </w:r>
    </w:p>
    <w:p>
      <w:pPr>
        <w:pStyle w:val="null3"/>
      </w:pPr>
      <w:r>
        <w:rPr>
          <w:rFonts w:ascii="仿宋_GB2312" w:hAnsi="仿宋_GB2312" w:cs="仿宋_GB2312" w:eastAsia="仿宋_GB2312"/>
        </w:rPr>
        <w:t>采购包最高限价（元）: 3,389,554.00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对新区正阳路、华夏南道、长虹路、长丰路等主要路段绿化进行改造提升，包括铺种草皮960㎡，栽植栽植地被石竹10100㎡，栽植高山黄杨5895㎡、栽植金边黄杨6060㎡、栽植红叶石楠5246㎡等。</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3,389,554.00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标的名称：对新区正阳路、华夏南道、长虹路、长丰路等主要路段绿化进行改造提升，包括铺种草皮960㎡，栽植栽植地被石竹10100㎡，栽植高山黄杨5895㎡、栽植金边黄杨6060㎡、栽植红叶石楠5246㎡等。</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采购内容</w:t>
            </w:r>
          </w:p>
        </w:tc>
        <w:tc>
          <w:tcPr>
            <w:tcW w:type="dxa" w:w="2076"/>
          </w:tcPr>
          <w:p>
            <w:pPr>
              <w:pStyle w:val="null3"/>
            </w:pPr>
            <w:r>
              <w:rPr>
                <w:rFonts w:ascii="仿宋_GB2312" w:hAnsi="仿宋_GB2312" w:cs="仿宋_GB2312" w:eastAsia="仿宋_GB2312"/>
                <w:sz w:val="21"/>
                <w:color w:val="333333"/>
              </w:rPr>
              <w:t>对新区正阳路、华夏南</w:t>
            </w:r>
            <w:r>
              <w:rPr>
                <w:rFonts w:ascii="仿宋_GB2312" w:hAnsi="仿宋_GB2312" w:cs="仿宋_GB2312" w:eastAsia="仿宋_GB2312"/>
                <w:sz w:val="21"/>
                <w:color w:val="333333"/>
              </w:rPr>
              <w:t>道、长虹路、长丰路等</w:t>
            </w:r>
            <w:r>
              <w:rPr>
                <w:rFonts w:ascii="仿宋_GB2312" w:hAnsi="仿宋_GB2312" w:cs="仿宋_GB2312" w:eastAsia="仿宋_GB2312"/>
                <w:sz w:val="21"/>
                <w:color w:val="333333"/>
              </w:rPr>
              <w:t>主要路段绿化进行改造</w:t>
            </w:r>
            <w:r>
              <w:rPr>
                <w:rFonts w:ascii="仿宋_GB2312" w:hAnsi="仿宋_GB2312" w:cs="仿宋_GB2312" w:eastAsia="仿宋_GB2312"/>
                <w:sz w:val="21"/>
                <w:color w:val="333333"/>
              </w:rPr>
              <w:t>提升，包括铺种草皮</w:t>
            </w:r>
            <w:r>
              <w:rPr>
                <w:rFonts w:ascii="仿宋_GB2312" w:hAnsi="仿宋_GB2312" w:cs="仿宋_GB2312" w:eastAsia="仿宋_GB2312"/>
                <w:sz w:val="21"/>
                <w:color w:val="333333"/>
              </w:rPr>
              <w:t>960㎡，栽植栽植地被</w:t>
            </w:r>
            <w:r>
              <w:rPr>
                <w:rFonts w:ascii="仿宋_GB2312" w:hAnsi="仿宋_GB2312" w:cs="仿宋_GB2312" w:eastAsia="仿宋_GB2312"/>
                <w:sz w:val="21"/>
                <w:color w:val="333333"/>
              </w:rPr>
              <w:t>石竹10100㎡，栽植高</w:t>
            </w:r>
            <w:r>
              <w:rPr>
                <w:rFonts w:ascii="仿宋_GB2312" w:hAnsi="仿宋_GB2312" w:cs="仿宋_GB2312" w:eastAsia="仿宋_GB2312"/>
                <w:sz w:val="21"/>
                <w:color w:val="333333"/>
              </w:rPr>
              <w:t>山黄杨5895㎡、栽植金</w:t>
            </w:r>
            <w:r>
              <w:rPr>
                <w:rFonts w:ascii="仿宋_GB2312" w:hAnsi="仿宋_GB2312" w:cs="仿宋_GB2312" w:eastAsia="仿宋_GB2312"/>
                <w:sz w:val="21"/>
                <w:color w:val="333333"/>
              </w:rPr>
              <w:t>边黄杨6060㎡、栽植红</w:t>
            </w:r>
            <w:r>
              <w:rPr>
                <w:rFonts w:ascii="仿宋_GB2312" w:hAnsi="仿宋_GB2312" w:cs="仿宋_GB2312" w:eastAsia="仿宋_GB2312"/>
                <w:sz w:val="21"/>
                <w:color w:val="333333"/>
              </w:rPr>
              <w:t>叶石楠5246㎡等。（具体以工程量清单为准）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关于财务会计制度的证明材料:供应商提供 2022年至今任意一年的财务审计报告(成立时间至提交响应文件截止时间不足年的可提供成立后任意时段的资产负债表)，或其基本存款账户开户银行出具的资信或资金证明(复印件加盖供应商公章）。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合格供应商</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 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法人身份证明或授权委托</w:t>
            </w:r>
          </w:p>
        </w:tc>
        <w:tc>
          <w:tcPr>
            <w:tcW w:type="dxa" w:w="3322"/>
          </w:tcPr>
          <w:p>
            <w:pPr>
              <w:pStyle w:val="null3"/>
            </w:pPr>
            <w:r>
              <w:rPr>
                <w:rFonts w:ascii="仿宋_GB2312" w:hAnsi="仿宋_GB2312" w:cs="仿宋_GB2312" w:eastAsia="仿宋_GB2312"/>
              </w:rPr>
              <w:t>法定代表人参加磋商须出具法定代表人身份证明（并附有效证件），被授权代理人 参加磋商须出具法定代表人授权书及被授权人有效证件;</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供应商不得为“信用中国”网站（www.creditchina.gov.cn）中列入失信被执行人 和重大税收违法失信主体名单的供应商，不得为中国政府采购网（www.ccgp.go v.cn）政府采购严重违法失信行为记录名单中被财政部门禁止参加政府采购活动的 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供应商提供2022年至今任意一年的财务审计报告(成立时间至提交响应文件截止时 间不足年的可提供成立后任意时段的资产负债表)，或其基本存款账户开户银行出 具的资信或资金证明(复印件加盖供应商公章);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具有履行合同所必需的设备和专业技术能力，提供证明材料或书面承诺并加盖公章 ;</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参加政府采购活动近三年内，在经营活动中没有重大违法记录，提供书面声明;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提供响应文件递交截止时间前6个月内任意1个月已缴纳完税凭证（任意税种）或 税务机关开具的完税证明（任意税种）;</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提供响应文件递交截止时间前6个月内任意1个月已缴存的任意时段的社会保障资 金缴存单据或社保机构开具的社会保险参保缴费情况证明;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响应文件签字盖章、格式</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技术方案.docx 已标价工程量清单.docx 中小企业声明函 技术服务合同条款及其他商务要求应答表 响应文件封面 法定代表人身份证明书.docx 供应商应提交的相关资格证明材料.docx 残疾人福利性单位声明函 报价函 标的清单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各供应商响应文件所报的报价金额必须是唯一报价，不得出现其他金额报价，否则按无效报价对待，其余指标不再评审</w:t>
            </w:r>
          </w:p>
        </w:tc>
        <w:tc>
          <w:tcPr>
            <w:tcW w:type="dxa" w:w="1661"/>
          </w:tcPr>
          <w:p>
            <w:pPr>
              <w:pStyle w:val="null3"/>
            </w:pPr>
            <w:r>
              <w:rPr>
                <w:rFonts w:ascii="仿宋_GB2312" w:hAnsi="仿宋_GB2312" w:cs="仿宋_GB2312" w:eastAsia="仿宋_GB2312"/>
              </w:rPr>
              <w:t>已标价工程量清单.docx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提供针对本项目的具体实施方案、工作计划，充分理解项目需求。方 案措施合理、完 善、可行，具有可操作性得15-20.0分；方案措施较合理、完善、可行 ，得7.0-14.9 分；方案措施有欠缺，方案简单，得0-6.9分。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评委根据各供应商措施横向对比，进行赋分，赋分范围：措施完善、可行有效， 得8.0-10.0分； 措施一般，得4.0-7.9分；措施差不可行，得0-3.9分。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评委根据各供应商措施横向对比，进行赋分，赋分范围：措施完善、可行有效， 得8.0-10.0分； 措施一般，得4.0-7.9分；措施差不可行，得0-3.9分。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安全生产保证措施</w:t>
            </w:r>
          </w:p>
        </w:tc>
        <w:tc>
          <w:tcPr>
            <w:tcW w:type="dxa" w:w="2492"/>
          </w:tcPr>
          <w:p>
            <w:pPr>
              <w:pStyle w:val="null3"/>
            </w:pPr>
            <w:r>
              <w:rPr>
                <w:rFonts w:ascii="仿宋_GB2312" w:hAnsi="仿宋_GB2312" w:cs="仿宋_GB2312" w:eastAsia="仿宋_GB2312"/>
              </w:rPr>
              <w:t>评委根据各供应商措施横向对比，进行赋分，赋分范围：措施完善、可行有效， 得8.0-10.0分； 措施一般，得4.0-7.9分； 措施差不可行，得0-3.9分。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评委根据各供应商措施横向对比，进行赋分，赋分范围：措施完善、可行有效， 得8.0-10.0分；措施一般，得4.0-7.9分；措施差不可行，得0-3.9分。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售后服务承诺及措施</w:t>
            </w:r>
          </w:p>
        </w:tc>
        <w:tc>
          <w:tcPr>
            <w:tcW w:type="dxa" w:w="2492"/>
          </w:tcPr>
          <w:p>
            <w:pPr>
              <w:pStyle w:val="null3"/>
            </w:pPr>
            <w:r>
              <w:rPr>
                <w:rFonts w:ascii="仿宋_GB2312" w:hAnsi="仿宋_GB2312" w:cs="仿宋_GB2312" w:eastAsia="仿宋_GB2312"/>
              </w:rPr>
              <w:t>投标人对本项目后期服务配合的承诺及具体措施，有利于本项目工作的开展。承诺措 施合理、完善、可行，具有可操作性得8.0-10.0分；承诺措施较合理、完善、可行， 得4.0-7.9分；承诺措施一般，无实质性内容得0-3.9分。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投标报价：以最终报价为准，并计算。 计算方式：统一采用低价优先法计算，即满足 磋商文件要求且投标价格最低的投标报价为评标基准价，其价格分为满分。其他供应 商的价格分统一按照下列公式计算：投标报价得分=（投标基准价/最终投标报价）×3 0计算得分；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