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版本号：SXGLZFCG2025-015号20250417001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新区阳光广场环卫保洁政府购买服务项目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SXGLZFCG2025-015号</w:t>
      </w:r>
      <w:r>
        <w:br/>
      </w:r>
      <w:r>
        <w:br/>
      </w:r>
      <w:r>
        <w:br/>
      </w:r>
    </w:p>
    <w:p>
      <w:pPr>
        <w:pStyle w:val="null3"/>
        <w:jc w:val="center"/>
        <w:outlineLvl w:val="2"/>
      </w:pPr>
      <w:r>
        <w:rPr>
          <w:rFonts w:ascii="仿宋_GB2312" w:hAnsi="仿宋_GB2312" w:cs="仿宋_GB2312" w:eastAsia="仿宋_GB2312"/>
          <w:sz w:val="28"/>
          <w:b/>
        </w:rPr>
        <w:t>铜川市城市管理执法局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w:t>
      </w:r>
      <w:r>
        <w:rPr>
          <w:rFonts w:ascii="仿宋_GB2312" w:hAnsi="仿宋_GB2312" w:cs="仿宋_GB2312" w:eastAsia="仿宋_GB2312"/>
        </w:rPr>
        <w:t>委托，拟对</w:t>
      </w:r>
      <w:r>
        <w:rPr>
          <w:rFonts w:ascii="仿宋_GB2312" w:hAnsi="仿宋_GB2312" w:cs="仿宋_GB2312" w:eastAsia="仿宋_GB2312"/>
        </w:rPr>
        <w:t>新区阳光广场环卫保洁政府购买服务项目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SXGLZFCG2025-015号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新区阳光广场环卫保洁政府购买服务项目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主要实施内容为阳光广场、带状广场及陈炉广场硬化地面、道路、绿地清扫保洁以及5座公厕管理。广场面积约为3.8万㎡，道路面积约为2.66万㎡，绿地面积约为6.16万㎡。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采购包1（新区阳光广场环卫保洁政府购买服务项目）：属于专门面向中小企业采购。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1、营业执照：具有独立承担民事责任的能力，提供法人或者其他组织的营业执照等证明文件，自然人的身份证明</w:t>
      </w:r>
    </w:p>
    <w:p>
      <w:pPr>
        <w:pStyle w:val="null3"/>
      </w:pPr>
      <w:r>
        <w:rPr>
          <w:rFonts w:ascii="仿宋_GB2312" w:hAnsi="仿宋_GB2312" w:cs="仿宋_GB2312" w:eastAsia="仿宋_GB2312"/>
        </w:rPr>
        <w:t>2、法人身份证明或授权委托：法定代表人参加磋商须出具法定代表人身份证明（并附有效证件），被授权代理人参加磋商须出具法定代表人授权书及被授权人有效证件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3、声明：参加政府采购活动近三年内，在经营活动中没有重大违法记录，提供书面声明</w:t>
      </w:r>
    </w:p>
    <w:p>
      <w:pPr>
        <w:pStyle w:val="null3"/>
      </w:pPr>
      <w:r>
        <w:rPr>
          <w:rFonts w:ascii="仿宋_GB2312" w:hAnsi="仿宋_GB2312" w:cs="仿宋_GB2312" w:eastAsia="仿宋_GB2312"/>
        </w:rPr>
        <w:t>4、信用查询：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财务状况：供应商提供2023或2024年任意一年的财务审计报告(成立时间至提交响应文件截止时间不足年的可提供成立后任意时段的资产负债表)，或其基本存款账户开户银行出具的资信或资金证明(复印件加盖供应商公章)</w:t>
      </w:r>
    </w:p>
    <w:p>
      <w:pPr>
        <w:pStyle w:val="null3"/>
      </w:pPr>
      <w:r>
        <w:rPr>
          <w:rFonts w:ascii="仿宋_GB2312" w:hAnsi="仿宋_GB2312" w:cs="仿宋_GB2312" w:eastAsia="仿宋_GB2312"/>
        </w:rPr>
        <w:t>6、承诺：具有履行合同所必需的设备和专业技术能力，提供证明材料或书面承诺并加盖公章</w:t>
      </w:r>
    </w:p>
    <w:p>
      <w:pPr>
        <w:pStyle w:val="null3"/>
      </w:pPr>
      <w:r>
        <w:rPr>
          <w:rFonts w:ascii="仿宋_GB2312" w:hAnsi="仿宋_GB2312" w:cs="仿宋_GB2312" w:eastAsia="仿宋_GB2312"/>
        </w:rPr>
        <w:t>7、税收缴纳：提供响应文件递交截止时间前6个月内任意1个月已缴纳完税凭证（任意税种）或税务机关开具的完税证明（任意税种）</w:t>
      </w:r>
    </w:p>
    <w:p>
      <w:pPr>
        <w:pStyle w:val="null3"/>
      </w:pPr>
      <w:r>
        <w:rPr>
          <w:rFonts w:ascii="仿宋_GB2312" w:hAnsi="仿宋_GB2312" w:cs="仿宋_GB2312" w:eastAsia="仿宋_GB2312"/>
        </w:rPr>
        <w:t>8、社会保障资金缴纳：提供响应文件递交截止时间前6个月内任意1个月已缴存的任意时段的社会保障资金缴存单据或社保机构开具的社会保险参保缴费情况证明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铜川新区长虹路6号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王瑞瑞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0919-3166232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铜川市王益区七一路25号工行王益支行3楼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采购包1：1,099,320.00元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以双方最终签订和合同内具体条款约定为准。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地址：铜川市王益区七一路25号工行王益支行3楼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主要实施内容为阳光广场、带状广场及陈炉广场硬化地面、道路、绿地清扫保洁以及5座公厕管理。广场面积约为3.8万㎡，道路面积约为2.66万㎡，绿地面积约为6.16万㎡。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1,099,320.00</w:t>
      </w:r>
    </w:p>
    <w:p>
      <w:pPr>
        <w:pStyle w:val="null3"/>
      </w:pPr>
      <w:r>
        <w:rPr>
          <w:rFonts w:ascii="仿宋_GB2312" w:hAnsi="仿宋_GB2312" w:cs="仿宋_GB2312" w:eastAsia="仿宋_GB2312"/>
        </w:rPr>
        <w:t>采购包最高限价（元）: 1,099,320.00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主要实施内容为阳光广场、带状广场及陈炉广场硬化地面、道路、绿地清扫保洁以及5座公厕管理。广场面积约为3.8万㎡，道路面积约为2.66万㎡，绿地面积约为6.16万㎡。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1,099,320.00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标的名称：主要实施内容为阳光广场、带状广场及陈炉广场硬化地面、道路、绿地清扫保洁以及5座公厕管理。广场面积约为3.8万㎡，道路面积约为2.66万㎡，绿地面积约为6.16万㎡。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服务内容及要求</w:t>
            </w:r>
          </w:p>
        </w:tc>
        <w:tc>
          <w:tcPr>
            <w:tcW w:type="dxa" w:w="2076"/>
          </w:tcPr>
          <w:p>
            <w:pPr>
              <w:pStyle w:val="null3"/>
              <w:jc w:val="both"/>
            </w:pPr>
            <w:r>
              <w:rPr>
                <w:rFonts w:ascii="仿宋_GB2312" w:hAnsi="仿宋_GB2312" w:cs="仿宋_GB2312" w:eastAsia="仿宋_GB2312"/>
                <w:sz w:val="24"/>
              </w:rPr>
              <w:t>一、服务内容</w:t>
            </w:r>
          </w:p>
          <w:p>
            <w:pPr>
              <w:pStyle w:val="null3"/>
              <w:ind w:firstLine="480"/>
              <w:jc w:val="both"/>
            </w:pPr>
            <w:r>
              <w:rPr>
                <w:rFonts w:ascii="仿宋_GB2312" w:hAnsi="仿宋_GB2312" w:cs="仿宋_GB2312" w:eastAsia="仿宋_GB2312"/>
                <w:sz w:val="24"/>
              </w:rPr>
              <w:t>主要实施内容为阳光广场、带状广场及陈炉广场硬化地面、道路、绿地清扫保洁以及</w:t>
            </w:r>
            <w:r>
              <w:rPr>
                <w:rFonts w:ascii="仿宋_GB2312" w:hAnsi="仿宋_GB2312" w:cs="仿宋_GB2312" w:eastAsia="仿宋_GB2312"/>
                <w:sz w:val="24"/>
              </w:rPr>
              <w:t>5座公厕管理。广场面积约为3.8万㎡，道路面积约为2.66万㎡，绿地面积约为6.16万㎡。</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质量标准</w:t>
            </w:r>
          </w:p>
          <w:p>
            <w:pPr>
              <w:pStyle w:val="null3"/>
              <w:ind w:firstLine="640"/>
              <w:jc w:val="both"/>
            </w:pPr>
            <w:r>
              <w:rPr>
                <w:rFonts w:ascii="仿宋_GB2312" w:hAnsi="仿宋_GB2312" w:cs="仿宋_GB2312" w:eastAsia="仿宋_GB2312"/>
                <w:sz w:val="24"/>
                <w:color w:val="000000"/>
                <w:shd w:fill="FFFFFF" w:val="clear"/>
              </w:rPr>
              <w:t>1、道路清扫保洁作业观感要求路面净、道牙净、雨水口净、墙根净、树穴净、绿带净，路见本色、标线清晰、设施整洁。</w:t>
            </w:r>
          </w:p>
          <w:p>
            <w:pPr>
              <w:pStyle w:val="null3"/>
              <w:ind w:firstLine="640"/>
              <w:jc w:val="both"/>
            </w:pPr>
            <w:r>
              <w:rPr>
                <w:rFonts w:ascii="仿宋_GB2312" w:hAnsi="仿宋_GB2312" w:cs="仿宋_GB2312" w:eastAsia="仿宋_GB2312"/>
                <w:sz w:val="24"/>
                <w:color w:val="000000"/>
                <w:shd w:fill="FFFFFF" w:val="clear"/>
              </w:rPr>
              <w:t>2、清扫质量标准：清扫作业面处处干净，无堆积物、无垃圾杂物、无积尘、无扬尘，整体感观干净整洁。</w:t>
            </w:r>
          </w:p>
          <w:p>
            <w:pPr>
              <w:pStyle w:val="null3"/>
              <w:ind w:firstLine="640"/>
              <w:jc w:val="both"/>
            </w:pPr>
            <w:r>
              <w:rPr>
                <w:rFonts w:ascii="仿宋_GB2312" w:hAnsi="仿宋_GB2312" w:cs="仿宋_GB2312" w:eastAsia="仿宋_GB2312"/>
                <w:sz w:val="24"/>
                <w:color w:val="000000"/>
                <w:shd w:fill="FFFFFF" w:val="clear"/>
              </w:rPr>
              <w:t>3、水洗质量标准：水洗喷洒均匀，作业后无积水、无污渍、无漏洗痕迹，路面洁净，路见本色，标线清晰亮丽。</w:t>
            </w:r>
          </w:p>
          <w:p>
            <w:pPr>
              <w:pStyle w:val="null3"/>
              <w:ind w:firstLine="640"/>
              <w:jc w:val="both"/>
            </w:pPr>
            <w:r>
              <w:rPr>
                <w:rFonts w:ascii="仿宋_GB2312" w:hAnsi="仿宋_GB2312" w:cs="仿宋_GB2312" w:eastAsia="仿宋_GB2312"/>
                <w:sz w:val="24"/>
                <w:color w:val="000000"/>
                <w:shd w:fill="FFFFFF" w:val="clear"/>
              </w:rPr>
              <w:t>4、保洁质量标准：保持路面、道牙、雨水口、人行道、树穴等无垃圾杂物，垃圾箱桶无满冒外溢，各类附属设施外观干净整洁。</w:t>
            </w:r>
          </w:p>
          <w:p>
            <w:pPr>
              <w:pStyle w:val="null3"/>
              <w:ind w:firstLine="480"/>
              <w:jc w:val="both"/>
            </w:pPr>
            <w:r>
              <w:rPr>
                <w:rFonts w:ascii="仿宋_GB2312" w:hAnsi="仿宋_GB2312" w:cs="仿宋_GB2312" w:eastAsia="仿宋_GB2312"/>
                <w:sz w:val="24"/>
              </w:rPr>
              <w:t>5、公厕日常按时清扫保洁、定期消杀消毒、定期对设施进行维修维护。</w:t>
            </w:r>
          </w:p>
          <w:p>
            <w:pPr>
              <w:pStyle w:val="null3"/>
              <w:jc w:val="both"/>
            </w:pPr>
            <w:r>
              <w:rPr>
                <w:rFonts w:ascii="仿宋_GB2312" w:hAnsi="仿宋_GB2312" w:cs="仿宋_GB2312" w:eastAsia="仿宋_GB2312"/>
                <w:sz w:val="24"/>
              </w:rPr>
              <w:t>三、商务要求</w:t>
            </w:r>
          </w:p>
          <w:p>
            <w:pPr>
              <w:pStyle w:val="null3"/>
              <w:ind w:firstLine="420"/>
              <w:jc w:val="both"/>
            </w:pPr>
            <w:r>
              <w:rPr>
                <w:rFonts w:ascii="仿宋_GB2312" w:hAnsi="仿宋_GB2312" w:cs="仿宋_GB2312" w:eastAsia="仿宋_GB2312"/>
                <w:sz w:val="24"/>
              </w:rPr>
              <w:t>1、本次招标采取“1＋2模式”一次招标三年延用，后续两年根据采购人对中标人的考核及本次中标结果进行合同续签。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按照《城市道路清扫保洁与质量评价标准》等相关规范要求，制定《铜川市城市道路清扫保洁精细化管理标准》《铜川市城市园林绿化精细化管理标准》及抽调专人成立考核小组，采取不定期抽查、日检查、月考核的方式对环卫保洁及绿</w:t>
            </w:r>
            <w:r>
              <w:rPr>
                <w:rFonts w:ascii="仿宋_GB2312" w:hAnsi="仿宋_GB2312" w:cs="仿宋_GB2312" w:eastAsia="仿宋_GB2312"/>
                <w:sz w:val="24"/>
              </w:rPr>
              <w:t>地保洁</w:t>
            </w:r>
            <w:r>
              <w:rPr>
                <w:rFonts w:ascii="仿宋_GB2312" w:hAnsi="仿宋_GB2312" w:cs="仿宋_GB2312" w:eastAsia="仿宋_GB2312"/>
                <w:sz w:val="24"/>
              </w:rPr>
              <w:t>工作进行考核打分。考核评分按百分制计算，平时考核（占</w:t>
            </w:r>
            <w:r>
              <w:rPr>
                <w:rFonts w:ascii="仿宋_GB2312" w:hAnsi="仿宋_GB2312" w:cs="仿宋_GB2312" w:eastAsia="仿宋_GB2312"/>
                <w:sz w:val="24"/>
              </w:rPr>
              <w:t>70%）与月考核（占30%）累加后为“该月实得分”。月得分90分以下扣除月费用的10%；85分以下为不合格，第一次给予书面黄牌警告，扣除月费用的20%，黄牌警告两次后，仍无改进的，终止双方签订的合同。在重大活动保障及清雪除冰、雨后清淤等应急抢险方面得到市级表彰的，给予适当奖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验收标准：参照《财政部关于进一步加强政府采购需求和履约验收管理的指导意见》(财库 (2016) 205号)。自行组织验收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每月考核评分按百分制计算，平时考核（占70%）与月考核（占30%）累加后为“该月实得分”。月得分90分以下扣除月费用的10%；85分以下为不合格，第一次给予书面黄牌警告，扣除月费用的20%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以双方最终签订和合同内具体条款约定为准。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服务期限1年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供应商提供2023或2024年任意一年的财务审计报告(成立时间至提交响应文件截止时间不足年的可提供成立后任意时段的资产负债表)，或其基本存款账户开户银行出具的资信或资金证明(复印件加盖供应商公章)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提供响应文件递交截止时间前6个月内任意1个月已缴纳完税凭证（任意税种）或税务机关开具的完税证明（任意税种）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响应文件签字盖章、格式</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法定代表人身份证明书.docx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各供应商响应文件所报的报价金额必须是唯一报价，不得出现其他金额报价，否则按无效报价对待，其余指标不再评审</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能够针对本项目提供完整、合理、详尽的服务方案，内容全面完整，可行性强，满足项目要求得20分；评审内容有缺陷不满足服务要求的扣0.1-10分，未提供方案不得分。（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工具、器械配备</w:t>
            </w:r>
          </w:p>
        </w:tc>
        <w:tc>
          <w:tcPr>
            <w:tcW w:type="dxa" w:w="2492"/>
          </w:tcPr>
          <w:p>
            <w:pPr>
              <w:pStyle w:val="null3"/>
            </w:pPr>
            <w:r>
              <w:rPr>
                <w:rFonts w:ascii="仿宋_GB2312" w:hAnsi="仿宋_GB2312" w:cs="仿宋_GB2312" w:eastAsia="仿宋_GB2312"/>
              </w:rPr>
              <w:t>供应商拟投入的工具器械等配备情况,提供主要工具器械清单。工具器械种类齐全、完全满足本项目需要、能及时补充、更换得10分；评审内容有缺陷不满足服务要求的扣0.1-5分，未提供方案不得分。（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紧急预案</w:t>
            </w:r>
          </w:p>
        </w:tc>
        <w:tc>
          <w:tcPr>
            <w:tcW w:type="dxa" w:w="2492"/>
          </w:tcPr>
          <w:p>
            <w:pPr>
              <w:pStyle w:val="null3"/>
            </w:pPr>
            <w:r>
              <w:rPr>
                <w:rFonts w:ascii="仿宋_GB2312" w:hAnsi="仿宋_GB2312" w:cs="仿宋_GB2312" w:eastAsia="仿宋_GB2312"/>
              </w:rPr>
              <w:t>对突发事件、灾害性天气及其他突发事件的紧急预案及相应的措施方案合理性且可操作性强得15分；评审内容有缺陷不满足服务要求的扣0.1-7分，未提供方案不得分。（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服务质量控制措施科学合理，提供明确的质量控制目标，且有详细的保障措施得10分；评审内容有缺陷不满足服务要求的扣0.1-5分，未提供方案不得分。（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拟派的人员配备清单（应有具体成员名单，包括年龄、工作经验、职责等），人员配置齐全，工作经验丰富等得15分；评审内容有缺陷不满足服务要求的扣0.1-7分，未提供方案不得分。（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详细具体可行的服务承诺，内容完整、合理、详尽可行性强得15分；评审内容有缺陷不满足服务要求的扣0.1-7分，未提供方案不得分。（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投标报价：以最终报价为准，并计算。 计算方式：统一采用低价优先法计算，即满足 磋商文件要求且投标价格最低的投标报价为评标基准价，其价格分为满分。其他供应 商的价格分统一按照下列公式计算：投标报价得分=（投标基准价/最终投标报价）×15计算得分；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详见附件：合同原则.docx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