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版本号：SZTCS-XA-250422-FW20250423001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编制2025年现代商贸流通试点城市实施方案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SZTCS-XA-250422-FW</w:t>
      </w:r>
      <w:r>
        <w:br/>
      </w:r>
      <w:r>
        <w:br/>
      </w:r>
      <w:r>
        <w:br/>
      </w:r>
    </w:p>
    <w:p>
      <w:pPr>
        <w:pStyle w:val="null3"/>
        <w:jc w:val="center"/>
        <w:outlineLvl w:val="2"/>
      </w:pPr>
      <w:r>
        <w:rPr>
          <w:rFonts w:ascii="仿宋_GB2312" w:hAnsi="仿宋_GB2312" w:cs="仿宋_GB2312" w:eastAsia="仿宋_GB2312"/>
          <w:sz w:val="28"/>
          <w:b/>
        </w:rPr>
        <w:t>铜川市商务局</w:t>
      </w:r>
    </w:p>
    <w:p>
      <w:pPr>
        <w:pStyle w:val="null3"/>
        <w:jc w:val="center"/>
        <w:outlineLvl w:val="2"/>
      </w:pPr>
      <w:r>
        <w:rPr>
          <w:rFonts w:ascii="仿宋_GB2312" w:hAnsi="仿宋_GB2312" w:cs="仿宋_GB2312" w:eastAsia="仿宋_GB2312"/>
          <w:sz w:val="28"/>
          <w:b/>
        </w:rPr>
        <w:t>陕西省中投招标有限责任公司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陕西省中投招标有限责任公司</w:t>
      </w:r>
      <w:r>
        <w:rPr>
          <w:rFonts w:ascii="仿宋_GB2312" w:hAnsi="仿宋_GB2312" w:cs="仿宋_GB2312" w:eastAsia="仿宋_GB2312"/>
        </w:rPr>
        <w:t>（以下简称“代理机构”）受</w:t>
      </w:r>
      <w:r>
        <w:rPr>
          <w:rFonts w:ascii="仿宋_GB2312" w:hAnsi="仿宋_GB2312" w:cs="仿宋_GB2312" w:eastAsia="仿宋_GB2312"/>
        </w:rPr>
        <w:t>铜川市商务局</w:t>
      </w:r>
      <w:r>
        <w:rPr>
          <w:rFonts w:ascii="仿宋_GB2312" w:hAnsi="仿宋_GB2312" w:cs="仿宋_GB2312" w:eastAsia="仿宋_GB2312"/>
        </w:rPr>
        <w:t>委托，拟对</w:t>
      </w:r>
      <w:r>
        <w:rPr>
          <w:rFonts w:ascii="仿宋_GB2312" w:hAnsi="仿宋_GB2312" w:cs="仿宋_GB2312" w:eastAsia="仿宋_GB2312"/>
        </w:rPr>
        <w:t>编制2025年现代商贸流通试点城市实施方案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SZTCS-XA-250422-FW</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编制2025年现代商贸流通试点城市实施方案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编制2025年现代商贸流通试点城市实施方案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法定代表人授权委托书：供应商提供法定代表人授权委托书原件（附法定代表人、被授权委托人身份证复印件）及被授权委托人身份证原件（法定代表人参加投标须提供法定代表人身份证明书及身份证）；供应商需在项目电子化交易系统中按要求上传相应证明文件并进行电子签章。</w:t>
      </w:r>
    </w:p>
    <w:p>
      <w:pPr>
        <w:pStyle w:val="null3"/>
      </w:pPr>
      <w:r>
        <w:rPr>
          <w:rFonts w:ascii="仿宋_GB2312" w:hAnsi="仿宋_GB2312" w:cs="仿宋_GB2312" w:eastAsia="仿宋_GB2312"/>
        </w:rPr>
        <w:t>3、财务状况：提供2023年或2024年度经会计师事务所审计的财务状况报告（至少包括资产负债表和利润表，成立时间至提交响应文件截止时间不足一年的可提供成立后任意时段的资产负债表）或提供其开标前三个月内基本存款账户开户银行出具的资信证明及基本存款账户开户信息；供应商需在项目电子化交易系统中按要求上传相应证明文件并进行电子签章。</w:t>
      </w:r>
    </w:p>
    <w:p>
      <w:pPr>
        <w:pStyle w:val="null3"/>
      </w:pPr>
      <w:r>
        <w:rPr>
          <w:rFonts w:ascii="仿宋_GB2312" w:hAnsi="仿宋_GB2312" w:cs="仿宋_GB2312" w:eastAsia="仿宋_GB2312"/>
        </w:rPr>
        <w:t>4、依法缴纳税收和社会保障资金：有依法缴纳税收和社会保障资金的相关材料（提供近半年内任意一个月的税收（任意税种）及社保缴纳证明材料。（依法免税的应提供相关文件证明、依法不需要缴纳社会保障资金的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6、履行合同所必需的设备和专业技术能力：具备履行合同所必需的设备和专业技术能力的证明材料；供应商需在项目电子化交易系统中按要求上传相应证明文件并进行电子签章。</w:t>
      </w:r>
    </w:p>
    <w:p>
      <w:pPr>
        <w:pStyle w:val="null3"/>
      </w:pPr>
      <w:r>
        <w:rPr>
          <w:rFonts w:ascii="仿宋_GB2312" w:hAnsi="仿宋_GB2312" w:cs="仿宋_GB2312" w:eastAsia="仿宋_GB2312"/>
        </w:rPr>
        <w:t>7、信用查询：供应商不得为“信用中国”网站（www.creditchina.gov.cn）中列入失信被执行人、重大税收违法案件当事人名单的供应商；不得为中国政府采购网（www.ccgp.gov.cn）政府采购严重违法失信行为信息记录中被财政部门禁止参加政府采购活动的供应商；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铜川市商务局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铜川市商务局经办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18829791952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陕西省中投招标有限责任公司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陕西省西安市莲湖区玉祥门恒和智系产业园3号楼703-2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杜艳艳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13991227376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和国家发展和改革委员会办公厅颁发的《关于招标代理服务收费有关问题的通知》（发改办价格[2003] 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铜川市商务局</w:t>
      </w:r>
      <w:r>
        <w:rPr>
          <w:rFonts w:ascii="仿宋_GB2312" w:hAnsi="仿宋_GB2312" w:cs="仿宋_GB2312" w:eastAsia="仿宋_GB2312"/>
        </w:rPr>
        <w:t>和</w:t>
      </w:r>
      <w:r>
        <w:rPr>
          <w:rFonts w:ascii="仿宋_GB2312" w:hAnsi="仿宋_GB2312" w:cs="仿宋_GB2312" w:eastAsia="仿宋_GB2312"/>
        </w:rPr>
        <w:t>陕西省中投招标有限责任公司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铜川市商务局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陕西省中投招标有限责任公司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铜川市商务局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陕西省中投招标有限责任公司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严格按照招标文件及采购人要求参数进行验收，同时满足国家、行业相关标准及规范、规定要求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陕西省中投招标有限责任公司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陕西省中投招标有限责任公司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陕西省中投招标有限责任公司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联系人：杜艳艳</w:t>
      </w:r>
    </w:p>
    <w:p>
      <w:pPr>
        <w:pStyle w:val="null3"/>
      </w:pPr>
      <w:r>
        <w:rPr>
          <w:rFonts w:ascii="仿宋_GB2312" w:hAnsi="仿宋_GB2312" w:cs="仿宋_GB2312" w:eastAsia="仿宋_GB2312"/>
        </w:rPr>
        <w:t>联系电话：13991227376</w:t>
      </w:r>
    </w:p>
    <w:p>
      <w:pPr>
        <w:pStyle w:val="null3"/>
      </w:pPr>
      <w:r>
        <w:rPr>
          <w:rFonts w:ascii="仿宋_GB2312" w:hAnsi="仿宋_GB2312" w:cs="仿宋_GB2312" w:eastAsia="仿宋_GB2312"/>
        </w:rPr>
        <w:t>地址：陕西省西安市莲湖区玉祥门恒和智系产业园3号楼703-2</w:t>
      </w:r>
    </w:p>
    <w:p>
      <w:pPr>
        <w:pStyle w:val="null3"/>
      </w:pPr>
      <w:r>
        <w:rPr>
          <w:rFonts w:ascii="仿宋_GB2312" w:hAnsi="仿宋_GB2312" w:cs="仿宋_GB2312" w:eastAsia="仿宋_GB2312"/>
        </w:rPr>
        <w:t>邮编：710002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编制2025年现代商贸流通试点城市实施方案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880,000.00</w:t>
      </w:r>
    </w:p>
    <w:p>
      <w:pPr>
        <w:pStyle w:val="null3"/>
      </w:pPr>
      <w:r>
        <w:rPr>
          <w:rFonts w:ascii="仿宋_GB2312" w:hAnsi="仿宋_GB2312" w:cs="仿宋_GB2312" w:eastAsia="仿宋_GB2312"/>
        </w:rPr>
        <w:t>采购包最高限价（元）: 880,000.00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编制2025年现代商贸流通试点城市实施方案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标的名称：编制2025年现代商贸流通试点城市实施方案</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方案编制</w:t>
            </w:r>
          </w:p>
        </w:tc>
        <w:tc>
          <w:tcPr>
            <w:tcW w:type="dxa" w:w="2076"/>
          </w:tcPr>
          <w:p>
            <w:pPr>
              <w:pStyle w:val="null3"/>
              <w:ind w:firstLine="640"/>
              <w:jc w:val="left"/>
            </w:pPr>
            <w:r>
              <w:rPr>
                <w:rFonts w:ascii="仿宋_GB2312" w:hAnsi="仿宋_GB2312" w:cs="仿宋_GB2312" w:eastAsia="仿宋_GB2312"/>
                <w:sz w:val="24"/>
              </w:rPr>
              <w:t>摸清</w:t>
            </w:r>
            <w:r>
              <w:rPr>
                <w:rFonts w:ascii="仿宋_GB2312" w:hAnsi="仿宋_GB2312" w:cs="仿宋_GB2312" w:eastAsia="仿宋_GB2312"/>
                <w:sz w:val="24"/>
              </w:rPr>
              <w:t>铜川</w:t>
            </w:r>
            <w:r>
              <w:rPr>
                <w:rFonts w:ascii="仿宋_GB2312" w:hAnsi="仿宋_GB2312" w:cs="仿宋_GB2312" w:eastAsia="仿宋_GB2312"/>
                <w:sz w:val="24"/>
              </w:rPr>
              <w:t>市商贸流通发展、生活必需品流通保供、再生资源回收等方面的底数，梳理卡点、堵点，找出差距和短板，并深入分析原因；研究制定我市现代商贸流通体系试点建设思路，重点说明工作定位、发展方向、工作路径和抓手，编制符合商务部要求的绩效评价指标体系，整体思路应体现我市的区位特征、功能定位、城市特点、产业特色等；根据总体思路，提出推动城乡商贸融合发展、建设生活必需品流通保供体系、完善农村商贸流通体系、加快培育现代流通骨干企业、建设城乡再生资源回收体系等五方面的重点任务和举措，制定切实可行的工作计划安排；从组织领导机制、资金管理制度、项目监管机制、其他等多方面编写保障措施。</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咨询服务</w:t>
            </w:r>
          </w:p>
        </w:tc>
        <w:tc>
          <w:tcPr>
            <w:tcW w:type="dxa" w:w="2076"/>
          </w:tcPr>
          <w:p>
            <w:pPr>
              <w:pStyle w:val="null3"/>
            </w:pPr>
            <w:r>
              <w:rPr>
                <w:rFonts w:ascii="仿宋_GB2312" w:hAnsi="仿宋_GB2312" w:cs="仿宋_GB2312" w:eastAsia="仿宋_GB2312"/>
                <w:sz w:val="24"/>
              </w:rPr>
              <w:t>为</w:t>
            </w:r>
            <w:r>
              <w:rPr>
                <w:rFonts w:ascii="仿宋_GB2312" w:hAnsi="仿宋_GB2312" w:cs="仿宋_GB2312" w:eastAsia="仿宋_GB2312"/>
                <w:sz w:val="24"/>
              </w:rPr>
              <w:t>铜川</w:t>
            </w:r>
            <w:r>
              <w:rPr>
                <w:rFonts w:ascii="仿宋_GB2312" w:hAnsi="仿宋_GB2312" w:cs="仿宋_GB2312" w:eastAsia="仿宋_GB2312"/>
                <w:sz w:val="24"/>
              </w:rPr>
              <w:t>市商务局申报现代商贸流通体系试点提供相关政策咨询等辅助工作。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符合《中华人民共和国民法典》、《陕西省商务厅关于预先做好2025年现代商贸流通体系申报工作的通知》、《财政部办公厅 商务部办公厅关于支持建设现代商贸流通体系试点城市的通知》及相关政策文件。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提交初稿后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商务部公布第二批试点城市名单之日起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 行。 未按合同或招标文件要求提供服务 质量不能满足采购人技术要求，采购单位有权终止合同，甚至对供应商违约行为进行 追究。 未按合同或招标文件要求提供服 务质量不能满足采购人技术要求，采购单位有权终止合同，甚至对供应商违约行为进 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纸质版投标文件一律采用书籍（胶装）方式装订。投标文件正本一份，副本二份，电子文件 Word 版本（全套投标文件，U 盘）一份。纸质投标文件均需使用 A4 纸，分别各自装订成册。投标文件正本、副本、电子版统一密封在一个标袋内。 递交方式：开标后中标单位将纸质标书送至陕西省西安市莲湖区玉祥门恒和智系产业园3号楼793-2。注：本次招标采用线上招标方式，纸质投标文件按招标文件要求递交（若是投标人的电子标无法打开，视为无效投标文件，不再参与评审。纸质文件不作为评审依据）请各投标人严格按照规定的电子标准格式编制投标文件，并确保以标准格式上传，否则不能参 与评审。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提供法定代表人授权委托书原件（附法定代表人、被授权委托人身份证复印件）及被授权委托人身份证原件（法定代表人参加投标须提供法定代表人身份证明书及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或2024年度经会计师事务所审计的财务状况报告（至少包括资产负债表和利润表，成立时间至提交响应文件截止时间不足一年的可提供成立后任意时段的资产负债表）或提供其开标前三个月内基本存款账户开户银行出具的资信证明及基本存款账户开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有依法缴纳税收和社会保障资金的相关材料（提供近半年内任意一个月的税收（任意税种）及社保缴纳证明材料。（依法免税的应提供相关文件证明、依法不需要缴纳社会保障资金的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案件当事人名单的供应商；不得为中国政府采购网（www.ccgp.gov.cn）政府采购严重违法失信行为信息记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招标响应文件签章</w:t>
            </w:r>
          </w:p>
        </w:tc>
        <w:tc>
          <w:tcPr>
            <w:tcW w:type="dxa" w:w="3322"/>
          </w:tcPr>
          <w:p>
            <w:pPr>
              <w:pStyle w:val="null3"/>
            </w:pPr>
            <w:r>
              <w:rPr>
                <w:rFonts w:ascii="仿宋_GB2312" w:hAnsi="仿宋_GB2312" w:cs="仿宋_GB2312" w:eastAsia="仿宋_GB2312"/>
              </w:rPr>
              <w:t>按招标文件要求签署、加盖印章 （平台提交的 应加盖符合要求的电子签章）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商务及技术主要条款响应</w:t>
            </w:r>
          </w:p>
        </w:tc>
        <w:tc>
          <w:tcPr>
            <w:tcW w:type="dxa" w:w="3322"/>
          </w:tcPr>
          <w:p>
            <w:pPr>
              <w:pStyle w:val="null3"/>
            </w:pPr>
            <w:r>
              <w:rPr>
                <w:rFonts w:ascii="仿宋_GB2312" w:hAnsi="仿宋_GB2312" w:cs="仿宋_GB2312" w:eastAsia="仿宋_GB2312"/>
              </w:rPr>
              <w:t>对服务期限等实质性内容进行响应且未附加其它条件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投标报价唯一且未超过采购预算</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了解铜川市基本情况</w:t>
            </w:r>
          </w:p>
        </w:tc>
        <w:tc>
          <w:tcPr>
            <w:tcW w:type="dxa" w:w="2492"/>
          </w:tcPr>
          <w:p>
            <w:pPr>
              <w:pStyle w:val="null3"/>
            </w:pPr>
            <w:r>
              <w:rPr>
                <w:rFonts w:ascii="仿宋_GB2312" w:hAnsi="仿宋_GB2312" w:cs="仿宋_GB2312" w:eastAsia="仿宋_GB2312"/>
              </w:rPr>
              <w:t>根据商务部《申报格式》要求，对铜川市城市情况进行包装提炼，总结铜川市在区位优势、资源特征、城市荣誉创建、城市战略定位、商贸流通的格局、经济社会发展情况等内容。提供详细的《铜川市基本情况》方案。方案完整、符合实际情况、贴近申报要求、总结提炼准确，赋分0-5分。方案完整、符合实际情况、贴近申报要求、总结提炼准确，得3-5分；方案完整、符合实际情况、贴近申报要求，得2-3分；方案完整、符合实际情况，得1-2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了解铜川市商贸流通发展情况</w:t>
            </w:r>
          </w:p>
        </w:tc>
        <w:tc>
          <w:tcPr>
            <w:tcW w:type="dxa" w:w="2492"/>
          </w:tcPr>
          <w:p>
            <w:pPr>
              <w:pStyle w:val="null3"/>
            </w:pPr>
            <w:r>
              <w:rPr>
                <w:rFonts w:ascii="仿宋_GB2312" w:hAnsi="仿宋_GB2312" w:cs="仿宋_GB2312" w:eastAsia="仿宋_GB2312"/>
              </w:rPr>
              <w:t>根据商务部《申报格式》要求，分别从物流冷链基础、城乡商贸网络、电子商务发展、全市商贸流通体系、县域商业体系、农产品流通体系、骨干企业培养、流通队伍建设等方面，结合铜川市企业和行业的具体情况，提供详细的《铜川市商贸流通发展情况》方案。方案完整、行业和企业情况符合实际、总结提炼合理，赋分0-10分。 方案完整、行业和企业情况符合实际、总结提炼合理，赋分7-10分；方案完整、行业和企业情况符合实际，赋分4-7分；方案完整，赋分1-4分；未提供得0分。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了解铜川市生活必需品供应情况</w:t>
            </w:r>
          </w:p>
        </w:tc>
        <w:tc>
          <w:tcPr>
            <w:tcW w:type="dxa" w:w="2492"/>
          </w:tcPr>
          <w:p>
            <w:pPr>
              <w:pStyle w:val="null3"/>
            </w:pPr>
            <w:r>
              <w:rPr>
                <w:rFonts w:ascii="仿宋_GB2312" w:hAnsi="仿宋_GB2312" w:cs="仿宋_GB2312" w:eastAsia="仿宋_GB2312"/>
              </w:rPr>
              <w:t>根据商务部《申报格式》要求，分别从生活必需品供应保供底数、区域流通保供中的定位及作用、流通保供组织实施工作成果等方面，结合铜川市保供企业和行业的具体情况，提供详细的《铜川市生活必需品流通保供情况》方案。方案完整、行业和企业情况符合实际、总结提炼合理，赋分0-10分。 方案完整、行业和保供企业情况符合实际、总结提炼合理，赋分7-10分；方案完整、行业和保供企业情况符合实际，赋分4-7分；方案完整，赋分1-4分；未提供得0分。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了解铜川市再生资源发展情况</w:t>
            </w:r>
          </w:p>
        </w:tc>
        <w:tc>
          <w:tcPr>
            <w:tcW w:type="dxa" w:w="2492"/>
          </w:tcPr>
          <w:p>
            <w:pPr>
              <w:pStyle w:val="null3"/>
            </w:pPr>
            <w:r>
              <w:rPr>
                <w:rFonts w:ascii="仿宋_GB2312" w:hAnsi="仿宋_GB2312" w:cs="仿宋_GB2312" w:eastAsia="仿宋_GB2312"/>
              </w:rPr>
              <w:t>根据商务部《申报格式》要求，分别从再生资源底数、再生资源网点规划布局、再生资源行业培育情况等方面，结合铜川市再生资源企业和行业的具体情况，提供详细的《铜川市再生资源回收情况》方案。方案完整、行业和回收企业情况符合实际、总结提炼合理，赋分0-10分。 方案完整、行业和再生资源回收企业情况符合实际、总结提炼合理，赋分7-10分；方案完整、行业和再生资源回收企业情况符合实际，赋分4-7分；方案完整，赋分1-4分；未提供得0分。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现状与发展趋势 判</w:t>
            </w:r>
          </w:p>
        </w:tc>
        <w:tc>
          <w:tcPr>
            <w:tcW w:type="dxa" w:w="2492"/>
          </w:tcPr>
          <w:p>
            <w:pPr>
              <w:pStyle w:val="null3"/>
            </w:pPr>
            <w:r>
              <w:rPr>
                <w:rFonts w:ascii="仿宋_GB2312" w:hAnsi="仿宋_GB2312" w:cs="仿宋_GB2312" w:eastAsia="仿宋_GB2312"/>
              </w:rPr>
              <w:t>对x项目现状特征及未来发展趋势的理解，赋分 0-10 分： 现状解读清楚，未来发展趋 势研判准确的得 7-10 分； 现状解读一般，未来发展研判基本到位的得 4-7 分； 现 状 解读不清楚，未来发展趋势研判不到位的得 1-4分； 未提供得0分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技术方案制定</w:t>
            </w:r>
          </w:p>
        </w:tc>
        <w:tc>
          <w:tcPr>
            <w:tcW w:type="dxa" w:w="2492"/>
          </w:tcPr>
          <w:p>
            <w:pPr>
              <w:pStyle w:val="null3"/>
            </w:pPr>
            <w:r>
              <w:rPr>
                <w:rFonts w:ascii="仿宋_GB2312" w:hAnsi="仿宋_GB2312" w:cs="仿宋_GB2312" w:eastAsia="仿宋_GB2312"/>
              </w:rPr>
              <w:t>根据商务部的最新要求，提出方案编制的基本思路、结构和要点，并制定明确工作计划和人员配置。 提出编制方案的内容、思路和技术路线清晰、完整，赋分 0-15分： 技术方案完整详细，科学可行的，得 10-15分； 技术方案较为完整，可行性较高的，得5-10 分； 技术方案 一般，总体较差的，得 1- 5分； 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项目相关政策梳理及了解</w:t>
            </w:r>
          </w:p>
        </w:tc>
        <w:tc>
          <w:tcPr>
            <w:tcW w:type="dxa" w:w="2492"/>
          </w:tcPr>
          <w:p>
            <w:pPr>
              <w:pStyle w:val="null3"/>
            </w:pPr>
            <w:r>
              <w:rPr>
                <w:rFonts w:ascii="仿宋_GB2312" w:hAnsi="仿宋_GB2312" w:cs="仿宋_GB2312" w:eastAsia="仿宋_GB2312"/>
              </w:rPr>
              <w:t>了解现代商贸流通体系试点项目申报流程，陈述商务部关于试点项目建设内容的最新要求，列明试点项目五大方向涉及的相关政策文件、标准进行梳理和分类，对试点城市工作的重要时间节点和内容梳理，深度理解现代商贸流通体系相关政策，精准把握现代商贸流通体系试点五大方向的内涵和资金支持内容，具有判定项目与资金支持方向匹配程度的指标体系和判定方法。赋分 0-10分。相关政策及流程梳理清晰详细相关政策了解透彻，得7-10分；相关政策及流程梳理基本到位，政策基本了解得4-7分；相关政策及流程梳理不清晰，政策不了解得1-4分；未提供得0分。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 键 点 、 重 难 点 分 析</w:t>
            </w:r>
          </w:p>
        </w:tc>
        <w:tc>
          <w:tcPr>
            <w:tcW w:type="dxa" w:w="2492"/>
          </w:tcPr>
          <w:p>
            <w:pPr>
              <w:pStyle w:val="null3"/>
            </w:pPr>
            <w:r>
              <w:rPr>
                <w:rFonts w:ascii="仿宋_GB2312" w:hAnsi="仿宋_GB2312" w:cs="仿宋_GB2312" w:eastAsia="仿宋_GB2312"/>
              </w:rPr>
              <w:t>正确识别本项目关键点及重难点， 逐条列出且分析全面、具体、透彻 ，解决对策，根据 内容完整度情况 ，赋分 0-5分： 重难点理解到位 、应对措施合理可行，得 4-5 分 ； 重难点理解基本到位、应对措 施较为合理可行，得 2-4分； 重 难点理解不到位、应 对措施较差， 得 1-2 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w:t>
            </w:r>
          </w:p>
        </w:tc>
        <w:tc>
          <w:tcPr>
            <w:tcW w:type="dxa" w:w="2492"/>
          </w:tcPr>
          <w:p>
            <w:pPr>
              <w:pStyle w:val="null3"/>
            </w:pPr>
            <w:r>
              <w:rPr>
                <w:rFonts w:ascii="仿宋_GB2312" w:hAnsi="仿宋_GB2312" w:cs="仿宋_GB2312" w:eastAsia="仿宋_GB2312"/>
              </w:rPr>
              <w:t>供应商拟派出的本项目团队负责人具有丰富的商贸流通领域的中央财政资金项目管理（申报、咨询、评估、验收等）经验。（相关工作经验＞5年的得6分，5年≥工作经验＞3年的得3分，3年≥工作经验＞1年的得1分，其余情况不得分。注：提供负责人简历，每年至少提供2份本年度在本公司的管理业绩合同作为证明。同一合同不得重复使用。）</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提供供应商的 2022 年1月1日至今签订的类似项目；每提供一份计 3分，满分9分，未 提供得0分。（以合同签订日期为准，须附合同复印件或中标通知书复印件并加盖投标人 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价格分采用低价优先法计算，即满足磋商文件要求且最终磋商价最低的投标报价为评标基准价，其价格分为满分，计10分； 满足磋商文件要求且磋商价格最低的磋商报价为评标基准价，其他磋商人的价格分按照公式计算：报价得分=（评标基准价／磋商报价×价格权值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详见附件：委托服务合同.docx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