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版本号：XAXC2025(Z)-FW-002.1B120250425001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职工食堂外包服务(二次)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XAXC2025(Z)-FW-002.1B1</w:t>
      </w:r>
      <w:r>
        <w:br/>
      </w:r>
      <w:r>
        <w:br/>
      </w:r>
      <w:r>
        <w:br/>
      </w:r>
    </w:p>
    <w:p>
      <w:pPr>
        <w:pStyle w:val="null3"/>
        <w:jc w:val="center"/>
        <w:outlineLvl w:val="2"/>
      </w:pPr>
      <w:r>
        <w:rPr>
          <w:rFonts w:ascii="仿宋_GB2312" w:hAnsi="仿宋_GB2312" w:cs="仿宋_GB2312" w:eastAsia="仿宋_GB2312"/>
          <w:sz w:val="28"/>
          <w:b/>
        </w:rPr>
        <w:t>铜川市水务局</w:t>
      </w:r>
    </w:p>
    <w:p>
      <w:pPr>
        <w:pStyle w:val="null3"/>
        <w:jc w:val="center"/>
        <w:outlineLvl w:val="2"/>
      </w:pPr>
      <w:r>
        <w:rPr>
          <w:rFonts w:ascii="仿宋_GB2312" w:hAnsi="仿宋_GB2312" w:cs="仿宋_GB2312" w:eastAsia="仿宋_GB2312"/>
          <w:sz w:val="28"/>
          <w:b/>
        </w:rPr>
        <w:t>西安新策建设工程咨询有限公司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西安新策建设工程咨询有限公司</w:t>
      </w:r>
      <w:r>
        <w:rPr>
          <w:rFonts w:ascii="仿宋_GB2312" w:hAnsi="仿宋_GB2312" w:cs="仿宋_GB2312" w:eastAsia="仿宋_GB2312"/>
        </w:rPr>
        <w:t>（以下简称“代理机构”）受</w:t>
      </w:r>
      <w:r>
        <w:rPr>
          <w:rFonts w:ascii="仿宋_GB2312" w:hAnsi="仿宋_GB2312" w:cs="仿宋_GB2312" w:eastAsia="仿宋_GB2312"/>
        </w:rPr>
        <w:t>铜川市水务局</w:t>
      </w:r>
      <w:r>
        <w:rPr>
          <w:rFonts w:ascii="仿宋_GB2312" w:hAnsi="仿宋_GB2312" w:cs="仿宋_GB2312" w:eastAsia="仿宋_GB2312"/>
        </w:rPr>
        <w:t>委托，拟对</w:t>
      </w:r>
      <w:r>
        <w:rPr>
          <w:rFonts w:ascii="仿宋_GB2312" w:hAnsi="仿宋_GB2312" w:cs="仿宋_GB2312" w:eastAsia="仿宋_GB2312"/>
        </w:rPr>
        <w:t>职工食堂外包服务(二次)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XAXC2025(Z)-FW-002.1B1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职工食堂外包服务(二次)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铜川市水务局食堂就餐人员116人，厨房面积约60㎡，餐厅面积约180㎡。市水务局提供厨房、餐厅、全套厨房设备及餐具用品，供应商负责供应日常工作用餐。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采购包1（铜川市水务局职工食堂外包服务）：属于专门面向小微企业采购。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2022年或2023年经审计的财务会计报告(包括审计报告、资产负债表、利润表、现金流量表、所有者权益变动表及其附注，成立时间至提交响应文件截止时间不足一年的可提供成立后任意时段的资产负债表)，或其开标前六个月内基本开户银行出具的资信证明(以上二种形式的资料提供任何一种即可)。</w:t>
      </w:r>
    </w:p>
    <w:p>
      <w:pPr>
        <w:pStyle w:val="null3"/>
      </w:pPr>
      <w:r>
        <w:rPr>
          <w:rFonts w:ascii="仿宋_GB2312" w:hAnsi="仿宋_GB2312" w:cs="仿宋_GB2312" w:eastAsia="仿宋_GB2312"/>
        </w:rPr>
        <w:t>3、社会保险参保缴费情况证明：提供递交响应文件截止之日前一年内任意一个月的社会保障资金缴存单据或社保机构开具的社会保险参保缴费情况证明或社保缴纳相关凭证。依法不需要缴纳社会保障资金的供应商应提供相关证明文件。</w:t>
      </w:r>
    </w:p>
    <w:p>
      <w:pPr>
        <w:pStyle w:val="null3"/>
      </w:pPr>
      <w:r>
        <w:rPr>
          <w:rFonts w:ascii="仿宋_GB2312" w:hAnsi="仿宋_GB2312" w:cs="仿宋_GB2312" w:eastAsia="仿宋_GB2312"/>
        </w:rPr>
        <w:t>4、税收缴纳证明：提供递交响应文件截止之日前一年内任意一个月的依法缴纳税收的相关凭据，凭据应有税务机关或代收机关的公章或业务专用章。依法免税或无须缴纳税收的供应商，应提供相应证明文件。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5、履约能力：提供具有履行合同所必需的设备和专业技术能力的说明及承诺（提供承诺书）。</w:t>
      </w:r>
    </w:p>
    <w:p>
      <w:pPr>
        <w:pStyle w:val="null3"/>
      </w:pPr>
      <w:r>
        <w:rPr>
          <w:rFonts w:ascii="仿宋_GB2312" w:hAnsi="仿宋_GB2312" w:cs="仿宋_GB2312" w:eastAsia="仿宋_GB2312"/>
        </w:rPr>
        <w:t>6、无重大违法记录：提供参加政府采购活动前3年内在经营活动中没有重大违法记录的书面声明。</w:t>
      </w:r>
    </w:p>
    <w:p>
      <w:pPr>
        <w:pStyle w:val="null3"/>
      </w:pPr>
      <w:r>
        <w:rPr>
          <w:rFonts w:ascii="仿宋_GB2312" w:hAnsi="仿宋_GB2312" w:cs="仿宋_GB2312" w:eastAsia="仿宋_GB2312"/>
        </w:rPr>
        <w:t>7、信用查询：供应商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p>
      <w:pPr>
        <w:pStyle w:val="null3"/>
      </w:pPr>
      <w:r>
        <w:rPr>
          <w:rFonts w:ascii="仿宋_GB2312" w:hAnsi="仿宋_GB2312" w:cs="仿宋_GB2312" w:eastAsia="仿宋_GB2312"/>
        </w:rPr>
        <w:t>8、法定代表人身份证明或法定代表人授权委托书：法定代表人直接参加投标的，须出具法定代表人身份证明及身份证原件；法定代表人授权代表参加投标的，须出具法定代表人授权书及授权代表身份证原件。响应文件中凡是需要法定代表人盖章之处，非法人单位的负责人均参照执行。</w:t>
      </w:r>
    </w:p>
    <w:p>
      <w:pPr>
        <w:pStyle w:val="null3"/>
      </w:pPr>
      <w:r>
        <w:rPr>
          <w:rFonts w:ascii="仿宋_GB2312" w:hAnsi="仿宋_GB2312" w:cs="仿宋_GB2312" w:eastAsia="仿宋_GB2312"/>
        </w:rPr>
        <w:t>9、企业关联关系：单位负责人为同一人或者存在控股、管理关系的不同单位，不得参加同一合同包下的政府采购活动。</w:t>
      </w:r>
    </w:p>
    <w:p>
      <w:pPr>
        <w:pStyle w:val="null3"/>
      </w:pPr>
      <w:r>
        <w:rPr>
          <w:rFonts w:ascii="仿宋_GB2312" w:hAnsi="仿宋_GB2312" w:cs="仿宋_GB2312" w:eastAsia="仿宋_GB2312"/>
        </w:rPr>
        <w:t>10、联合体情况：本项目不接受联合体磋商（提供承诺书）。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铜川市新区长丰北路6号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王小军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0919-3194076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西安新策建设工程咨询有限公司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陕西省铜川市新区鸿基路 1 号领地未来城商务中心 1 单元 2201号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0919-3198519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招标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铜川市水务局</w:t>
      </w:r>
      <w:r>
        <w:rPr>
          <w:rFonts w:ascii="仿宋_GB2312" w:hAnsi="仿宋_GB2312" w:cs="仿宋_GB2312" w:eastAsia="仿宋_GB2312"/>
        </w:rPr>
        <w:t>和</w:t>
      </w:r>
      <w:r>
        <w:rPr>
          <w:rFonts w:ascii="仿宋_GB2312" w:hAnsi="仿宋_GB2312" w:cs="仿宋_GB2312" w:eastAsia="仿宋_GB2312"/>
        </w:rPr>
        <w:t>西安新策建设工程咨询有限公司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西安新策建设工程咨询有限公司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西安新策建设工程咨询有限公司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西安新策建设工程咨询有限公司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西安新策建设工程咨询有限公司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西安新策建设工程咨询有限公司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联系人：高妮</w:t>
      </w:r>
    </w:p>
    <w:p>
      <w:pPr>
        <w:pStyle w:val="null3"/>
      </w:pPr>
      <w:r>
        <w:rPr>
          <w:rFonts w:ascii="仿宋_GB2312" w:hAnsi="仿宋_GB2312" w:cs="仿宋_GB2312" w:eastAsia="仿宋_GB2312"/>
        </w:rPr>
        <w:t>联系电话：0919-3198519</w:t>
      </w:r>
    </w:p>
    <w:p>
      <w:pPr>
        <w:pStyle w:val="null3"/>
      </w:pPr>
      <w:r>
        <w:rPr>
          <w:rFonts w:ascii="仿宋_GB2312" w:hAnsi="仿宋_GB2312" w:cs="仿宋_GB2312" w:eastAsia="仿宋_GB2312"/>
        </w:rPr>
        <w:t>地址：陕西省铜川市新区鸿基路 1 号领地未来城商务中心 1 单元 2201号</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铜川市水务局食堂就餐人员116人，厨房面积约60㎡，餐厅面积约180㎡。市水务局提供厨房、餐厅、全套厨房设备及餐具用品，供应商负责供应日常工作用餐。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406,800.00</w:t>
      </w:r>
    </w:p>
    <w:p>
      <w:pPr>
        <w:pStyle w:val="null3"/>
      </w:pPr>
      <w:r>
        <w:rPr>
          <w:rFonts w:ascii="仿宋_GB2312" w:hAnsi="仿宋_GB2312" w:cs="仿宋_GB2312" w:eastAsia="仿宋_GB2312"/>
        </w:rPr>
        <w:t>采购包最高限价（元）: 406,800.00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铜川市水务局职工食堂外包服务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406,800.00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标的名称：铜川市水务局职工食堂外包服务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基本</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1.铜川市水务局食堂就餐人员116人，厨房面积约60㎡，餐厅面积约180㎡。市水务局提供厨房、餐厅、全套厨房设备及餐具用品，供应商负责供应日常工作用餐。</w:t>
            </w:r>
          </w:p>
          <w:p>
            <w:pPr>
              <w:pStyle w:val="null3"/>
              <w:ind w:firstLine="480"/>
              <w:jc w:val="both"/>
            </w:pPr>
            <w:r>
              <w:rPr>
                <w:rFonts w:ascii="仿宋_GB2312" w:hAnsi="仿宋_GB2312" w:cs="仿宋_GB2312" w:eastAsia="仿宋_GB2312"/>
                <w:sz w:val="24"/>
              </w:rPr>
              <w:t>2.项目名称：铜川市水务局职工食堂外包服务</w:t>
            </w:r>
          </w:p>
          <w:p>
            <w:pPr>
              <w:pStyle w:val="null3"/>
              <w:ind w:firstLine="480"/>
              <w:jc w:val="both"/>
            </w:pPr>
            <w:r>
              <w:rPr>
                <w:rFonts w:ascii="仿宋_GB2312" w:hAnsi="仿宋_GB2312" w:cs="仿宋_GB2312" w:eastAsia="仿宋_GB2312"/>
                <w:sz w:val="24"/>
              </w:rPr>
              <w:t>3.服务地点：铜川市水务局机关（铜川市新区长丰北路6号）</w:t>
            </w:r>
          </w:p>
          <w:p>
            <w:pPr>
              <w:pStyle w:val="null3"/>
              <w:ind w:firstLine="480"/>
              <w:jc w:val="both"/>
            </w:pPr>
            <w:r>
              <w:rPr>
                <w:rFonts w:ascii="仿宋_GB2312" w:hAnsi="仿宋_GB2312" w:cs="仿宋_GB2312" w:eastAsia="仿宋_GB2312"/>
                <w:sz w:val="24"/>
              </w:rPr>
              <w:t>4.服务内容：食材由承包方自主采购，食堂人员配备及薪资等由承包方负责，提供早餐、中午餐、下午餐，要求营养搭配合理，内容丰富，菜量充足，安全卫生，确保工作人员按时按量用餐。</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服务成果验收：采购人根据服务情况每季度抽检，每月考核打分。</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承包方在职工餐厅不得对外营业出售餐品。</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卫生及安全管理</w:t>
            </w:r>
          </w:p>
          <w:p>
            <w:pPr>
              <w:pStyle w:val="null3"/>
              <w:ind w:firstLine="480"/>
              <w:jc w:val="both"/>
            </w:pPr>
            <w:r>
              <w:rPr>
                <w:rFonts w:ascii="仿宋_GB2312" w:hAnsi="仿宋_GB2312" w:cs="仿宋_GB2312" w:eastAsia="仿宋_GB2312"/>
                <w:sz w:val="24"/>
              </w:rPr>
              <w:t>承包方必须严格遵守《中华人民共和国食品安全法》、《中华人民共和国食品安全法实施条例》等相关法律法规的规定，按照市水务局方面对职工食堂的相关要求，供应职工用餐。</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承包方承包的职工食堂应在市水务局的监督和管理下提供服务，应不断通过努力增加菜品多样化及营养化提高饭菜质量。</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原材料采购，必须保证所采购的食材安全，进货渠道正规，所有食品材料采购应采购于正规厂家，油类应使用正规大品牌，肉类跟正规屠宰企业洽购，每天提供检疫证明，并按照规定开具凭证，确保质量，不得采购或者使用不符合食品安全标准的食品原料、食品添加剂、食品相关产品。（职工灶开始运营后，承包方必须提供所采购食材渠道正规的有效的凭证，产品生产合格证，以供我方随时检验）。</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无关人员严禁进入厨房及保管室，食堂人员离开厨房前，必须将各种食品放置好，关好门窗，检查电源开关、设备、炉灶等，做好防火、防盗、防毒工作。</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按照食品安全管理要求，每餐必须留样备检。</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配餐标准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配餐标准</w:t>
            </w:r>
          </w:p>
          <w:p>
            <w:pPr>
              <w:pStyle w:val="null3"/>
              <w:ind w:firstLine="480"/>
              <w:jc w:val="center"/>
            </w:pPr>
            <w:r>
              <w:rPr>
                <w:rFonts w:ascii="仿宋_GB2312" w:hAnsi="仿宋_GB2312" w:cs="仿宋_GB2312" w:eastAsia="仿宋_GB2312"/>
                <w:sz w:val="24"/>
                <w:color w:val="0D0D0D"/>
              </w:rPr>
              <w:t>职工食堂菜式要求一览表</w:t>
            </w:r>
          </w:p>
          <w:tbl>
            <w:tblPr>
              <w:tblBorders>
                <w:top w:val="none" w:color="000000" w:sz="4"/>
                <w:left w:val="none" w:color="000000" w:sz="4"/>
                <w:bottom w:val="none" w:color="000000" w:sz="4"/>
                <w:right w:val="none" w:color="000000" w:sz="4"/>
                <w:insideH w:val="none"/>
                <w:insideV w:val="none"/>
              </w:tblBorders>
            </w:tblPr>
            <w:tblGrid>
              <w:gridCol w:w="263"/>
              <w:gridCol w:w="193"/>
              <w:gridCol w:w="619"/>
              <w:gridCol w:w="376"/>
              <w:gridCol w:w="402"/>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D0D0D"/>
                    </w:rPr>
                    <w:t>类别</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D0D0D"/>
                    </w:rPr>
                    <w:t>餐次</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D0D0D"/>
                    </w:rPr>
                    <w:t>要求</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D0D0D"/>
                    </w:rPr>
                    <w:t>就餐时间</w:t>
                  </w:r>
                </w:p>
              </w:tc>
              <w:tc>
                <w:tcPr>
                  <w:tcW w:type="dxa" w:w="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D0D0D"/>
                    </w:rPr>
                    <w:t>备注</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基本辅餐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早餐</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0D0D"/>
                    </w:rPr>
                    <w:t>最少提供两个主食</w:t>
                  </w:r>
                  <w:r>
                    <w:rPr>
                      <w:rFonts w:ascii="仿宋_GB2312" w:hAnsi="仿宋_GB2312" w:cs="仿宋_GB2312" w:eastAsia="仿宋_GB2312"/>
                      <w:sz w:val="22"/>
                      <w:color w:val="0D0D0D"/>
                    </w:rPr>
                    <w:t>（包子、馒头等）</w:t>
                  </w:r>
                  <w:r>
                    <w:rPr>
                      <w:rFonts w:ascii="仿宋_GB2312" w:hAnsi="仿宋_GB2312" w:cs="仿宋_GB2312" w:eastAsia="仿宋_GB2312"/>
                      <w:sz w:val="22"/>
                      <w:color w:val="0D0D0D"/>
                    </w:rPr>
                    <w:t>，</w:t>
                  </w:r>
                  <w:r>
                    <w:rPr>
                      <w:rFonts w:ascii="仿宋_GB2312" w:hAnsi="仿宋_GB2312" w:cs="仿宋_GB2312" w:eastAsia="仿宋_GB2312"/>
                      <w:sz w:val="22"/>
                      <w:color w:val="0D0D0D"/>
                    </w:rPr>
                    <w:t>4个菜</w:t>
                  </w:r>
                  <w:r>
                    <w:rPr>
                      <w:rFonts w:ascii="仿宋_GB2312" w:hAnsi="仿宋_GB2312" w:cs="仿宋_GB2312" w:eastAsia="仿宋_GB2312"/>
                      <w:sz w:val="22"/>
                      <w:color w:val="0D0D0D"/>
                    </w:rPr>
                    <w:t>（</w:t>
                  </w:r>
                  <w:r>
                    <w:rPr>
                      <w:rFonts w:ascii="仿宋_GB2312" w:hAnsi="仿宋_GB2312" w:cs="仿宋_GB2312" w:eastAsia="仿宋_GB2312"/>
                      <w:sz w:val="22"/>
                      <w:color w:val="0D0D0D"/>
                    </w:rPr>
                    <w:t>不少于两个主菜，小菜不少于</w:t>
                  </w:r>
                  <w:r>
                    <w:rPr>
                      <w:rFonts w:ascii="仿宋_GB2312" w:hAnsi="仿宋_GB2312" w:cs="仿宋_GB2312" w:eastAsia="仿宋_GB2312"/>
                      <w:sz w:val="22"/>
                      <w:color w:val="0D0D0D"/>
                    </w:rPr>
                    <w:t>2个</w:t>
                  </w:r>
                  <w:r>
                    <w:rPr>
                      <w:rFonts w:ascii="仿宋_GB2312" w:hAnsi="仿宋_GB2312" w:cs="仿宋_GB2312" w:eastAsia="仿宋_GB2312"/>
                      <w:sz w:val="22"/>
                      <w:color w:val="0D0D0D"/>
                    </w:rPr>
                    <w:t>），鸡蛋、</w:t>
                  </w:r>
                  <w:r>
                    <w:rPr>
                      <w:rFonts w:ascii="仿宋_GB2312" w:hAnsi="仿宋_GB2312" w:cs="仿宋_GB2312" w:eastAsia="仿宋_GB2312"/>
                      <w:sz w:val="22"/>
                      <w:color w:val="0D0D0D"/>
                    </w:rPr>
                    <w:t>粥类</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07:30--08:20</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自行搭配</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基本正餐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中餐</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0D0D"/>
                    </w:rPr>
                    <w:t>最少四菜一汤（荤菜不少于</w:t>
                  </w:r>
                  <w:r>
                    <w:rPr>
                      <w:rFonts w:ascii="仿宋_GB2312" w:hAnsi="仿宋_GB2312" w:cs="仿宋_GB2312" w:eastAsia="仿宋_GB2312"/>
                      <w:sz w:val="22"/>
                      <w:color w:val="0D0D0D"/>
                    </w:rPr>
                    <w:t>2个），主食</w:t>
                  </w:r>
                  <w:r>
                    <w:rPr>
                      <w:rFonts w:ascii="仿宋_GB2312" w:hAnsi="仿宋_GB2312" w:cs="仿宋_GB2312" w:eastAsia="仿宋_GB2312"/>
                      <w:sz w:val="22"/>
                      <w:color w:val="0D0D0D"/>
                    </w:rPr>
                    <w:t>米饭、馒头、面条等</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12:00--12:40</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自行搭配</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基本正餐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晚餐</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0D0D"/>
                    </w:rPr>
                    <w:t>稀饭、馒头、小菜</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18:00--18:40</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自行搭配</w:t>
                  </w:r>
                </w:p>
              </w:tc>
            </w:tr>
          </w:tbl>
          <w:p>
            <w:pPr>
              <w:pStyle w:val="null3"/>
              <w:ind w:firstLine="240"/>
              <w:jc w:val="both"/>
            </w:pPr>
            <w:r>
              <w:rPr>
                <w:rFonts w:ascii="仿宋_GB2312" w:hAnsi="仿宋_GB2312" w:cs="仿宋_GB2312" w:eastAsia="仿宋_GB2312"/>
                <w:sz w:val="24"/>
              </w:rPr>
              <w:t>日常餐饮服务要求：</w:t>
            </w:r>
          </w:p>
          <w:p>
            <w:pPr>
              <w:pStyle w:val="null3"/>
              <w:ind w:firstLine="480"/>
              <w:jc w:val="both"/>
            </w:pPr>
            <w:r>
              <w:rPr>
                <w:rFonts w:ascii="仿宋_GB2312" w:hAnsi="仿宋_GB2312" w:cs="仿宋_GB2312" w:eastAsia="仿宋_GB2312"/>
                <w:sz w:val="24"/>
              </w:rPr>
              <w:t>供应饭菜应干净卫生、无杂物、无污物、无怪味等，出品菜式保证色、香、味俱全。</w:t>
            </w:r>
          </w:p>
          <w:p>
            <w:pPr>
              <w:pStyle w:val="null3"/>
              <w:ind w:firstLine="480"/>
              <w:jc w:val="both"/>
            </w:pPr>
            <w:r>
              <w:rPr>
                <w:rFonts w:ascii="仿宋_GB2312" w:hAnsi="仿宋_GB2312" w:cs="仿宋_GB2312" w:eastAsia="仿宋_GB2312"/>
                <w:sz w:val="24"/>
              </w:rPr>
              <w:t>定期更换和</w:t>
            </w:r>
            <w:r>
              <w:rPr>
                <w:rFonts w:ascii="仿宋_GB2312" w:hAnsi="仿宋_GB2312" w:cs="仿宋_GB2312" w:eastAsia="仿宋_GB2312"/>
                <w:sz w:val="24"/>
              </w:rPr>
              <w:t>调整菜品花样，保证每日不重复。</w:t>
            </w:r>
          </w:p>
          <w:p>
            <w:pPr>
              <w:pStyle w:val="null3"/>
              <w:ind w:firstLine="480"/>
              <w:jc w:val="both"/>
            </w:pPr>
            <w:r>
              <w:rPr>
                <w:rFonts w:ascii="仿宋_GB2312" w:hAnsi="仿宋_GB2312" w:cs="仿宋_GB2312" w:eastAsia="仿宋_GB2312"/>
                <w:sz w:val="24"/>
              </w:rPr>
              <w:t>根据采购人意见和用餐人员意见，及时对出品、服务作出调整和改善。</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就餐人数和食堂服务人员配置要求</w:t>
            </w:r>
          </w:p>
          <w:p>
            <w:pPr>
              <w:pStyle w:val="null3"/>
              <w:ind w:firstLine="480"/>
              <w:jc w:val="both"/>
            </w:pPr>
            <w:r>
              <w:rPr>
                <w:rFonts w:ascii="仿宋_GB2312" w:hAnsi="仿宋_GB2312" w:cs="仿宋_GB2312" w:eastAsia="仿宋_GB2312"/>
                <w:sz w:val="24"/>
              </w:rPr>
              <w:t>承包人应保障铜川市水务局所有工作人员的用餐，对用餐人数实施动态管理。</w:t>
            </w:r>
          </w:p>
          <w:p>
            <w:pPr>
              <w:pStyle w:val="null3"/>
              <w:ind w:firstLine="480"/>
              <w:jc w:val="both"/>
            </w:pPr>
            <w:r>
              <w:rPr>
                <w:rFonts w:ascii="仿宋_GB2312" w:hAnsi="仿宋_GB2312" w:cs="仿宋_GB2312" w:eastAsia="仿宋_GB2312"/>
                <w:sz w:val="24"/>
              </w:rPr>
              <w:t>食堂员工由承包方自行招聘，</w:t>
            </w:r>
            <w:r>
              <w:rPr>
                <w:rFonts w:ascii="仿宋_GB2312" w:hAnsi="仿宋_GB2312" w:cs="仿宋_GB2312" w:eastAsia="仿宋_GB2312"/>
                <w:sz w:val="24"/>
              </w:rPr>
              <w:t>人员不少于</w:t>
            </w:r>
            <w:r>
              <w:rPr>
                <w:rFonts w:ascii="仿宋_GB2312" w:hAnsi="仿宋_GB2312" w:cs="仿宋_GB2312" w:eastAsia="仿宋_GB2312"/>
                <w:sz w:val="24"/>
              </w:rPr>
              <w:t>5人，</w:t>
            </w:r>
            <w:r>
              <w:rPr>
                <w:rFonts w:ascii="仿宋_GB2312" w:hAnsi="仿宋_GB2312" w:cs="仿宋_GB2312" w:eastAsia="仿宋_GB2312"/>
                <w:sz w:val="24"/>
              </w:rPr>
              <w:t>管理员</w:t>
            </w:r>
            <w:r>
              <w:rPr>
                <w:rFonts w:ascii="仿宋_GB2312" w:hAnsi="仿宋_GB2312" w:cs="仿宋_GB2312" w:eastAsia="仿宋_GB2312"/>
                <w:sz w:val="24"/>
              </w:rPr>
              <w:t>高中</w:t>
            </w:r>
            <w:r>
              <w:rPr>
                <w:rFonts w:ascii="仿宋_GB2312" w:hAnsi="仿宋_GB2312" w:cs="仿宋_GB2312" w:eastAsia="仿宋_GB2312"/>
                <w:sz w:val="24"/>
              </w:rPr>
              <w:t>以上学历，熟悉行业管理，有</w:t>
            </w:r>
            <w:r>
              <w:rPr>
                <w:rFonts w:ascii="仿宋_GB2312" w:hAnsi="仿宋_GB2312" w:cs="仿宋_GB2312" w:eastAsia="仿宋_GB2312"/>
                <w:sz w:val="24"/>
              </w:rPr>
              <w:t>3</w:t>
            </w:r>
            <w:r>
              <w:rPr>
                <w:rFonts w:ascii="仿宋_GB2312" w:hAnsi="仿宋_GB2312" w:cs="仿宋_GB2312" w:eastAsia="仿宋_GB2312"/>
                <w:sz w:val="24"/>
              </w:rPr>
              <w:t>年以上工作经验；厨师要求具有厨师证；按规定体检，上岗前所聘任食堂服务人员必须通过卫生部门指定医院或防疫站体检，领取饮食行业健康证，无健康证合格证者，严禁使用。</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患有《食品安全法实施条例》第二十三条所列疾病的人员，不得从事接触直接入口食品的工作。以上人员要接受采购方的监督管理。</w:t>
            </w:r>
          </w:p>
          <w:p>
            <w:pPr>
              <w:pStyle w:val="null3"/>
              <w:ind w:firstLine="480"/>
              <w:jc w:val="both"/>
            </w:pPr>
            <w:r>
              <w:rPr>
                <w:rFonts w:ascii="仿宋_GB2312" w:hAnsi="仿宋_GB2312" w:cs="仿宋_GB2312" w:eastAsia="仿宋_GB2312"/>
                <w:sz w:val="24"/>
              </w:rPr>
              <w:t>有公务接待或重大会议时，承包人应随时提高接待能力，满足各类就餐需要，做好服务保障工作。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费用说明</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用餐形式为自助餐，早餐每人</w:t>
            </w:r>
            <w:r>
              <w:rPr>
                <w:rFonts w:ascii="仿宋_GB2312" w:hAnsi="仿宋_GB2312" w:cs="仿宋_GB2312" w:eastAsia="仿宋_GB2312"/>
                <w:sz w:val="24"/>
              </w:rPr>
              <w:t>2元，午餐每人4元，晚餐每人3元，以后随物价变化另行确定。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食堂加工工作场地、食品加工设备、餐具、水、电、天然气由市水务局负责免费提供。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承包期内厨房食品加工设备正常维修由市水务局承担，因使用不当造成的损坏由承包方承担，必须添置或需采买维修更换的设备，由承包方提出申请，市水务局同意后负责安排，费用由市水务局承担。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本项目实行食材费和员工工资费用包干（由承包方负责）主要包含：</w:t>
            </w:r>
          </w:p>
          <w:p>
            <w:pPr>
              <w:pStyle w:val="null3"/>
              <w:ind w:firstLine="720"/>
              <w:jc w:val="both"/>
            </w:pPr>
            <w:r>
              <w:rPr>
                <w:rFonts w:ascii="仿宋_GB2312" w:hAnsi="仿宋_GB2312" w:cs="仿宋_GB2312" w:eastAsia="仿宋_GB2312"/>
                <w:sz w:val="24"/>
              </w:rPr>
              <w:t>员工工资及福利。</w:t>
            </w:r>
          </w:p>
          <w:p>
            <w:pPr>
              <w:pStyle w:val="null3"/>
              <w:ind w:left="225" w:firstLine="499"/>
              <w:jc w:val="both"/>
            </w:pPr>
            <w:r>
              <w:rPr>
                <w:rFonts w:ascii="仿宋_GB2312" w:hAnsi="仿宋_GB2312" w:cs="仿宋_GB2312" w:eastAsia="仿宋_GB2312"/>
                <w:sz w:val="24"/>
              </w:rPr>
              <w:t>食物、调料等消耗品（如调料品、原材料、肉、米、面、油、蔬菜、调配料等食材）。</w:t>
            </w:r>
          </w:p>
          <w:p>
            <w:pPr>
              <w:pStyle w:val="null3"/>
              <w:ind w:firstLine="720"/>
              <w:jc w:val="both"/>
            </w:pPr>
            <w:r>
              <w:rPr>
                <w:rFonts w:ascii="仿宋_GB2312" w:hAnsi="仿宋_GB2312" w:cs="仿宋_GB2312" w:eastAsia="仿宋_GB2312"/>
                <w:sz w:val="24"/>
              </w:rPr>
              <w:t>员工食宿费用。</w:t>
            </w:r>
          </w:p>
          <w:p>
            <w:pPr>
              <w:pStyle w:val="null3"/>
              <w:ind w:firstLine="720"/>
              <w:jc w:val="both"/>
            </w:pPr>
            <w:r>
              <w:rPr>
                <w:rFonts w:ascii="仿宋_GB2312" w:hAnsi="仿宋_GB2312" w:cs="仿宋_GB2312" w:eastAsia="仿宋_GB2312"/>
                <w:sz w:val="24"/>
              </w:rPr>
              <w:t>员工服装费。</w:t>
            </w:r>
          </w:p>
          <w:p>
            <w:pPr>
              <w:pStyle w:val="null3"/>
              <w:ind w:firstLine="720"/>
              <w:jc w:val="both"/>
            </w:pPr>
            <w:r>
              <w:rPr>
                <w:rFonts w:ascii="仿宋_GB2312" w:hAnsi="仿宋_GB2312" w:cs="仿宋_GB2312" w:eastAsia="仿宋_GB2312"/>
                <w:sz w:val="24"/>
              </w:rPr>
              <w:t>清洁用品。</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服务基本要求</w:t>
            </w:r>
          </w:p>
          <w:p>
            <w:pPr>
              <w:pStyle w:val="null3"/>
              <w:ind w:firstLine="480"/>
              <w:jc w:val="both"/>
            </w:pPr>
            <w:r>
              <w:rPr>
                <w:rFonts w:ascii="仿宋_GB2312" w:hAnsi="仿宋_GB2312" w:cs="仿宋_GB2312" w:eastAsia="仿宋_GB2312"/>
                <w:sz w:val="24"/>
              </w:rPr>
              <w:t>具有多年的餐饮承包服务经验，尤其是党政机关食堂服务经验（具体以供应商出具合同及中标通知书复印件为准）。</w:t>
            </w:r>
          </w:p>
          <w:p>
            <w:pPr>
              <w:pStyle w:val="null3"/>
              <w:ind w:firstLine="480"/>
              <w:jc w:val="both"/>
            </w:pPr>
            <w:r>
              <w:rPr>
                <w:rFonts w:ascii="仿宋_GB2312" w:hAnsi="仿宋_GB2312" w:cs="仿宋_GB2312" w:eastAsia="仿宋_GB2312"/>
                <w:sz w:val="24"/>
              </w:rPr>
              <w:t>必须按照采购人的要求，按时保质、保量地提供优质服务，保证达到服务标准。</w:t>
            </w:r>
          </w:p>
          <w:p>
            <w:pPr>
              <w:pStyle w:val="null3"/>
              <w:ind w:firstLine="480"/>
              <w:jc w:val="both"/>
            </w:pPr>
            <w:r>
              <w:rPr>
                <w:rFonts w:ascii="仿宋_GB2312" w:hAnsi="仿宋_GB2312" w:cs="仿宋_GB2312" w:eastAsia="仿宋_GB2312"/>
                <w:sz w:val="24"/>
              </w:rPr>
              <w:t>对于采购人提出的问题，供应商应该积极主动改进，否则，采购人有权终止合同。</w:t>
            </w:r>
          </w:p>
          <w:p>
            <w:pPr>
              <w:pStyle w:val="null3"/>
              <w:ind w:firstLine="480"/>
              <w:jc w:val="both"/>
            </w:pPr>
            <w:r>
              <w:rPr>
                <w:rFonts w:ascii="仿宋_GB2312" w:hAnsi="仿宋_GB2312" w:cs="仿宋_GB2312" w:eastAsia="仿宋_GB2312"/>
                <w:sz w:val="24"/>
              </w:rPr>
              <w:t>供应商工作人员必须遵守采购单位的管理制度，服从采购人的管理。</w:t>
            </w:r>
          </w:p>
          <w:p>
            <w:pPr>
              <w:pStyle w:val="null3"/>
              <w:ind w:firstLine="480"/>
              <w:jc w:val="both"/>
            </w:pPr>
            <w:r>
              <w:rPr>
                <w:rFonts w:ascii="仿宋_GB2312" w:hAnsi="仿宋_GB2312" w:cs="仿宋_GB2312" w:eastAsia="仿宋_GB2312"/>
                <w:sz w:val="24"/>
              </w:rPr>
              <w:t>采购人除按时支付供应商的承包款外，有权定期的对供应商的工作质量、服务水平进行监督、检查、考核，检查考核结果严格按照采购单位考核打分制度进行赏罚。并提出整改意见，连续三个月达不到标准的，采购人有权解除合同。</w:t>
            </w:r>
          </w:p>
          <w:p>
            <w:pPr>
              <w:pStyle w:val="null3"/>
              <w:ind w:firstLine="480"/>
              <w:jc w:val="both"/>
            </w:pPr>
            <w:r>
              <w:rPr>
                <w:rFonts w:ascii="仿宋_GB2312" w:hAnsi="仿宋_GB2312" w:cs="仿宋_GB2312" w:eastAsia="仿宋_GB2312"/>
                <w:sz w:val="24"/>
              </w:rPr>
              <w:t>成交供应商须建立完善的内部人员管理制度，形成人员档案式管理并将相关管理制度及人员岗位流动情况第一时间报采购单位备案。</w:t>
            </w:r>
          </w:p>
          <w:p>
            <w:pPr>
              <w:pStyle w:val="null3"/>
              <w:ind w:firstLine="480"/>
              <w:jc w:val="both"/>
            </w:pPr>
            <w:r>
              <w:rPr>
                <w:rFonts w:ascii="仿宋_GB2312" w:hAnsi="仿宋_GB2312" w:cs="仿宋_GB2312" w:eastAsia="仿宋_GB2312"/>
                <w:sz w:val="24"/>
              </w:rPr>
              <w:t>成交供应商服务人员在承包期间发生的任何意外事故，除因采购单位原因造成的以外，均由供应商自行承担责任。事故所造成的人员生命、财产损失，由供应商自己承担；因供应商自身管理及操作失误给采购单位及自身造成人员生命或财产损失的，成交供应商要负相应法律责任。</w:t>
            </w:r>
          </w:p>
          <w:p>
            <w:pPr>
              <w:pStyle w:val="null3"/>
              <w:ind w:firstLine="480"/>
              <w:jc w:val="both"/>
            </w:pPr>
            <w:r>
              <w:rPr>
                <w:rFonts w:ascii="仿宋_GB2312" w:hAnsi="仿宋_GB2312" w:cs="仿宋_GB2312" w:eastAsia="仿宋_GB2312"/>
                <w:sz w:val="24"/>
              </w:rPr>
              <w:t>成交供应商在承包期间，应严格执行《食品卫生法》，防止食物中毒，由于管理不善或供应商人员操作等因素引发的食品卫生安全事件，由供应商负全部责任，赔偿因此给采购单位造成的行政事业罚款等相关费用，并无条件配合采购单位善后处理。</w:t>
            </w:r>
          </w:p>
          <w:p>
            <w:pPr>
              <w:pStyle w:val="null3"/>
              <w:ind w:firstLine="480"/>
              <w:jc w:val="both"/>
            </w:pPr>
            <w:r>
              <w:rPr>
                <w:rFonts w:ascii="仿宋_GB2312" w:hAnsi="仿宋_GB2312" w:cs="仿宋_GB2312" w:eastAsia="仿宋_GB2312"/>
                <w:sz w:val="24"/>
              </w:rPr>
              <w:t>如采购单位业务调整、结构调整、管理主体变更等因素造成合同不能正常履行，成交供应商可以申请解除本合同。</w:t>
            </w:r>
          </w:p>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具体承包方式</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承包方式：包工包料，成交单位负责采购一切食物原料、配料，负责承包餐</w:t>
            </w:r>
            <w:r>
              <w:rPr>
                <w:rFonts w:ascii="仿宋_GB2312" w:hAnsi="仿宋_GB2312" w:cs="仿宋_GB2312" w:eastAsia="仿宋_GB2312"/>
                <w:sz w:val="24"/>
              </w:rPr>
              <w:t>厅内务，按时完成采购人餐饮供应工作，承包单位独立管理、自负盈亏。供应商所有员工归属服务供应商，并非采购人员工，采购人向成交供应商提供符合建筑规范厨房场地及配套服务设备。</w:t>
            </w:r>
          </w:p>
          <w:p>
            <w:pPr>
              <w:pStyle w:val="null3"/>
              <w:ind w:firstLine="480"/>
              <w:jc w:val="both"/>
            </w:pPr>
            <w:r>
              <w:rPr>
                <w:rFonts w:ascii="仿宋_GB2312" w:hAnsi="仿宋_GB2312" w:cs="仿宋_GB2312" w:eastAsia="仿宋_GB2312"/>
                <w:sz w:val="24"/>
              </w:rPr>
              <w:t>成交供应商必须依法经营，在采购粮油、肉蛋类、禽类、鱼类、蔬菜类、副食品类、调味类等原料和物品必须符合国家食品质量标准和卫生标准。保障采购单位就餐人员的合法权益，确保饮食卫生，提供优质的饮食服务。</w:t>
            </w:r>
          </w:p>
          <w:p>
            <w:pPr>
              <w:pStyle w:val="null3"/>
              <w:ind w:firstLine="480"/>
              <w:jc w:val="both"/>
            </w:pPr>
            <w:r>
              <w:rPr>
                <w:rFonts w:ascii="仿宋_GB2312" w:hAnsi="仿宋_GB2312" w:cs="仿宋_GB2312" w:eastAsia="仿宋_GB2312"/>
                <w:sz w:val="24"/>
              </w:rPr>
              <w:t>要求成交供应商在员工餐厅经营期间必须讲原则，责任心强，正直诚实，不谋私利。本着</w:t>
            </w:r>
            <w:r>
              <w:rPr>
                <w:rFonts w:ascii="仿宋_GB2312" w:hAnsi="仿宋_GB2312" w:cs="仿宋_GB2312" w:eastAsia="仿宋_GB2312"/>
                <w:sz w:val="24"/>
              </w:rPr>
              <w:t>“自主经营、自负盈亏；接受监督、保障供应的原则。</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合同支付</w:t>
            </w:r>
          </w:p>
          <w:p>
            <w:pPr>
              <w:pStyle w:val="null3"/>
              <w:ind w:firstLine="480"/>
              <w:jc w:val="both"/>
            </w:pPr>
            <w:r>
              <w:rPr>
                <w:rFonts w:ascii="仿宋_GB2312" w:hAnsi="仿宋_GB2312" w:cs="仿宋_GB2312" w:eastAsia="仿宋_GB2312"/>
                <w:sz w:val="24"/>
              </w:rPr>
              <w:t>每个季度，采购人根据日常抽查情况及月末考核检查对承包商团队进行评分，考核为优秀，全额支付本季度约定支付的劳务费用；考核为合格，对采购人提出的问题供应商组织及时整改的全额支付本季度约定支付的劳务费用，如未按期及时整改的支付本季度约定支付的</w:t>
            </w:r>
            <w:r>
              <w:rPr>
                <w:rFonts w:ascii="仿宋_GB2312" w:hAnsi="仿宋_GB2312" w:cs="仿宋_GB2312" w:eastAsia="仿宋_GB2312"/>
                <w:sz w:val="24"/>
              </w:rPr>
              <w:t>80%</w:t>
            </w:r>
            <w:r>
              <w:rPr>
                <w:rFonts w:ascii="仿宋_GB2312" w:hAnsi="仿宋_GB2312" w:cs="仿宋_GB2312" w:eastAsia="仿宋_GB2312"/>
                <w:sz w:val="24"/>
              </w:rPr>
              <w:t>劳务费用；考核为不合格，支付本季度约定支付的</w:t>
            </w:r>
            <w:r>
              <w:rPr>
                <w:rFonts w:ascii="仿宋_GB2312" w:hAnsi="仿宋_GB2312" w:cs="仿宋_GB2312" w:eastAsia="仿宋_GB2312"/>
                <w:sz w:val="24"/>
              </w:rPr>
              <w:t>50%</w:t>
            </w:r>
            <w:r>
              <w:rPr>
                <w:rFonts w:ascii="仿宋_GB2312" w:hAnsi="仿宋_GB2312" w:cs="仿宋_GB2312" w:eastAsia="仿宋_GB2312"/>
                <w:sz w:val="24"/>
              </w:rPr>
              <w:t>劳务费用；累计三个月考核不合格采购人有权解除合同。</w:t>
            </w:r>
          </w:p>
          <w:p>
            <w:pPr>
              <w:pStyle w:val="null3"/>
              <w:ind w:firstLine="482"/>
              <w:jc w:val="both"/>
            </w:pPr>
            <w:r>
              <w:rPr>
                <w:rFonts w:ascii="仿宋_GB2312" w:hAnsi="仿宋_GB2312" w:cs="仿宋_GB2312" w:eastAsia="仿宋_GB2312"/>
                <w:sz w:val="24"/>
                <w:b/>
              </w:rPr>
              <w:t>七、</w:t>
            </w:r>
            <w:r>
              <w:rPr>
                <w:rFonts w:ascii="仿宋_GB2312" w:hAnsi="仿宋_GB2312" w:cs="仿宋_GB2312" w:eastAsia="仿宋_GB2312"/>
                <w:sz w:val="24"/>
                <w:b/>
              </w:rPr>
              <w:t>服务期限</w:t>
            </w:r>
          </w:p>
          <w:p>
            <w:pPr>
              <w:pStyle w:val="null3"/>
              <w:ind w:firstLine="480"/>
              <w:jc w:val="both"/>
            </w:pPr>
            <w:r>
              <w:rPr>
                <w:rFonts w:ascii="仿宋_GB2312" w:hAnsi="仿宋_GB2312" w:cs="仿宋_GB2312" w:eastAsia="仿宋_GB2312"/>
                <w:sz w:val="24"/>
              </w:rPr>
              <w:t>本项目服务期自合同签订之日起</w:t>
            </w:r>
            <w:r>
              <w:rPr>
                <w:rFonts w:ascii="仿宋_GB2312" w:hAnsi="仿宋_GB2312" w:cs="仿宋_GB2312" w:eastAsia="仿宋_GB2312"/>
                <w:sz w:val="24"/>
              </w:rPr>
              <w:t>1</w:t>
            </w:r>
            <w:r>
              <w:rPr>
                <w:rFonts w:ascii="仿宋_GB2312" w:hAnsi="仿宋_GB2312" w:cs="仿宋_GB2312" w:eastAsia="仿宋_GB2312"/>
                <w:sz w:val="24"/>
              </w:rPr>
              <w:t>年。在上一个服务期内考核合格、无重大食品安全事故，服务期到期可续签合同，最多续签</w:t>
            </w:r>
            <w:r>
              <w:rPr>
                <w:rFonts w:ascii="仿宋_GB2312" w:hAnsi="仿宋_GB2312" w:cs="仿宋_GB2312" w:eastAsia="仿宋_GB2312"/>
                <w:sz w:val="24"/>
              </w:rPr>
              <w:t>2</w:t>
            </w:r>
            <w:r>
              <w:rPr>
                <w:rFonts w:ascii="仿宋_GB2312" w:hAnsi="仿宋_GB2312" w:cs="仿宋_GB2312" w:eastAsia="仿宋_GB2312"/>
                <w:sz w:val="24"/>
              </w:rPr>
              <w:t>个服务期，合同一年一签。自合同生效之日起，供应商在采购、制作过程中，必须接受监督人（铜川市水务局）的管理。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铜川市水务局机关（铜川市新区长丰北路6号）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根据磋商文件、响应文件、合同及国家相关标准。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第一个季度服务结束后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第二个季度服务结束后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第三个季度服务结束后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第四个季度服务结束后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本项目采购预算及最高限价为： 大写：人民币肆拾万零陆仟捌佰元整； 小写：406800.00元（上述费用包括人员成本、利润、税收及负担服务本项目所有员工的工资、奖金、福利、医疗、社保和交通等一切费用。） 备注：投标报价超过最高限价的，按照无效投标处理。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或2023年经审计的财务会计报告(包括审计报告、资产负债表、利润表、现金流量表、所有者权益变动表及其附注，成立时间至提交响应文件截止时间不足一年的可提供成立后任意时段的资产负债表)，或其开标前六个月内基本开户银行出具的资信证明(以上二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社会保险参保缴费情况证明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提供递交响应文件截止之日前一年内任意一个月的社会保障资金缴存单据或社保机构开具的社会保险参保缴费情况证明或社保缴纳相关凭证。依法不需要缴纳社会保障资金的供应商应提供相关证明文件。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提供具有履行合同所必需的设备和专业技术能力的说明及承诺（提供承诺书）。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及身份证原件；法定代表人授权代表参加投标的，须出具法定代表人授权书及授权代表身份证原件。响应文件中凡是需要法定代表人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联合体情况</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响应文件是否按磋商文件要求签署、盖章</w:t>
            </w:r>
          </w:p>
        </w:tc>
        <w:tc>
          <w:tcPr>
            <w:tcW w:type="dxa" w:w="3322"/>
          </w:tcPr>
          <w:p>
            <w:pPr>
              <w:pStyle w:val="null3"/>
            </w:pPr>
            <w:r>
              <w:rPr>
                <w:rFonts w:ascii="仿宋_GB2312" w:hAnsi="仿宋_GB2312" w:cs="仿宋_GB2312" w:eastAsia="仿宋_GB2312"/>
              </w:rPr>
              <w:t>按磋商文件要求签署、盖章的。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报价是否超过磋商文件中规定的最高限价</w:t>
            </w:r>
          </w:p>
        </w:tc>
        <w:tc>
          <w:tcPr>
            <w:tcW w:type="dxa" w:w="3322"/>
          </w:tcPr>
          <w:p>
            <w:pPr>
              <w:pStyle w:val="null3"/>
            </w:pPr>
            <w:r>
              <w:rPr>
                <w:rFonts w:ascii="仿宋_GB2312" w:hAnsi="仿宋_GB2312" w:cs="仿宋_GB2312" w:eastAsia="仿宋_GB2312"/>
              </w:rPr>
              <w:t>报价未超过磋商文件中规定的最高限价。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响应文件是否含有采购人不能接受的附加条件或其他情形</w:t>
            </w:r>
          </w:p>
        </w:tc>
        <w:tc>
          <w:tcPr>
            <w:tcW w:type="dxa" w:w="3322"/>
          </w:tcPr>
          <w:p>
            <w:pPr>
              <w:pStyle w:val="null3"/>
            </w:pPr>
            <w:r>
              <w:rPr>
                <w:rFonts w:ascii="仿宋_GB2312" w:hAnsi="仿宋_GB2312" w:cs="仿宋_GB2312" w:eastAsia="仿宋_GB2312"/>
              </w:rPr>
              <w:t>响应文件未含有采购人不能接受的附加条件或其他情形。</w:t>
            </w:r>
          </w:p>
        </w:tc>
        <w:tc>
          <w:tcPr>
            <w:tcW w:type="dxa" w:w="1661"/>
          </w:tcPr>
          <w:p>
            <w:pPr>
              <w:pStyle w:val="null3"/>
            </w:pPr>
            <w:r>
              <w:rPr>
                <w:rFonts w:ascii="仿宋_GB2312" w:hAnsi="仿宋_GB2312" w:cs="仿宋_GB2312" w:eastAsia="仿宋_GB2312"/>
              </w:rPr>
              <w:t>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是否发现法律、法规和磋商文件规定的其他无效情形</w:t>
            </w:r>
          </w:p>
        </w:tc>
        <w:tc>
          <w:tcPr>
            <w:tcW w:type="dxa" w:w="3322"/>
          </w:tcPr>
          <w:p>
            <w:pPr>
              <w:pStyle w:val="null3"/>
            </w:pPr>
            <w:r>
              <w:rPr>
                <w:rFonts w:ascii="仿宋_GB2312" w:hAnsi="仿宋_GB2312" w:cs="仿宋_GB2312" w:eastAsia="仿宋_GB2312"/>
              </w:rPr>
              <w:t>未发现法律、法规和磋商文件规定的其他无效情形。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供应商针对本项目提供总体服务方案及思路，评标委员会根据专业性、完善性、可操作性综合赋分： 服务方案科学合理、满足项目要求，合理性、针对性强得(6-9）分。 服务方案有一定的可行性，基本满足项目要求，具有一定的合理性、针对性得(3-6]分。 服务方案基本可行，合理性、针对性稍有欠缺的得(0-3]分。 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供应商针对本项目提供服务质量的方案及保障措施，评标委员会根据其科学性、完善性、可操作性综合赋分： 服务方案科学合理、满足项目要求，合理性、针对性强得(4-6）分。 服务方案有一定的可行性，基本满足项目要求，具有一定的合理性、针对性得(2-4]分。 服务方案基本可行，合理性、针对性稍有欠缺的得(0-2]分。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卫生管理保障措施</w:t>
            </w:r>
          </w:p>
        </w:tc>
        <w:tc>
          <w:tcPr>
            <w:tcW w:type="dxa" w:w="2492"/>
          </w:tcPr>
          <w:p>
            <w:pPr>
              <w:pStyle w:val="null3"/>
            </w:pPr>
            <w:r>
              <w:rPr>
                <w:rFonts w:ascii="仿宋_GB2312" w:hAnsi="仿宋_GB2312" w:cs="仿宋_GB2312" w:eastAsia="仿宋_GB2312"/>
              </w:rPr>
              <w:t>供应商针对本项目提供食堂卫生质量（食品卫生、人员卫生、环境卫生、垃圾处理措施等）的服务方案及保障措施，评标委员会根据其科学性、完善性、可操作性综合赋分： 服务方案科学合理、满足项目要求，合理性、针对性强得(4-6）分。 服务方案有一定的可行性，基本满足项目要求，具有一定的合理性、针对性得(2-4]分。 服务方案基本可行，合理性、针对性稍有欠缺的得(0-2]分。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供应商针对本项目提供食堂消防安全的服务方案及突发事件应急预案，评标委员会根据其科学性、完善性、可操作性综合赋分： 服务方案科学合理、满足项目要求，合理性、针对性强得(4-6）分。 服务方案有一定的可行性，基本满足项目要求，具有一定的合理性、针对性得(2-4]分。 服务方案基本可行，合理性、针对性稍有欠缺的得(0-2]分。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节能措施</w:t>
            </w:r>
          </w:p>
        </w:tc>
        <w:tc>
          <w:tcPr>
            <w:tcW w:type="dxa" w:w="2492"/>
          </w:tcPr>
          <w:p>
            <w:pPr>
              <w:pStyle w:val="null3"/>
            </w:pPr>
            <w:r>
              <w:rPr>
                <w:rFonts w:ascii="仿宋_GB2312" w:hAnsi="仿宋_GB2312" w:cs="仿宋_GB2312" w:eastAsia="仿宋_GB2312"/>
              </w:rPr>
              <w:t>供应商针对本项目提供关于水、电、煤气等能耗管理，并制定和落实相关节能措施等方面的服务方案及措施，评标委员会根据其科学性、完善性、可操作性综合赋分： 服务方案科学合理、满足项目要求，合理性、针对性强得(3-5）分。 服务方案有一定的可行性，基本满足项目要求，具有一定的合理性、针对性得(1-3]分。 服务方案基本可行，合理性、针对性稍有欠缺的得(0-1]分。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设备维护管理方案</w:t>
            </w:r>
          </w:p>
        </w:tc>
        <w:tc>
          <w:tcPr>
            <w:tcW w:type="dxa" w:w="2492"/>
          </w:tcPr>
          <w:p>
            <w:pPr>
              <w:pStyle w:val="null3"/>
            </w:pPr>
            <w:r>
              <w:rPr>
                <w:rFonts w:ascii="仿宋_GB2312" w:hAnsi="仿宋_GB2312" w:cs="仿宋_GB2312" w:eastAsia="仿宋_GB2312"/>
              </w:rPr>
              <w:t>供应商针对本项目提供设备及工具的维护及管理服务方案及措施，评标委员会根据其科学性、完善性、可操作性综合赋分： 服务方案科学合理、满足项目要求，合理性、针对性强得(3-5）分。 服务方案有一定的可行性，基本满足项目要求，具有一定的合理性、针对性得(1-3]分。 服务方案基本可行，合理性、针对性稍有欠缺的得(0-1]分。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服务人员配备</w:t>
            </w:r>
          </w:p>
        </w:tc>
        <w:tc>
          <w:tcPr>
            <w:tcW w:type="dxa" w:w="2492"/>
          </w:tcPr>
          <w:p>
            <w:pPr>
              <w:pStyle w:val="null3"/>
            </w:pPr>
            <w:r>
              <w:rPr>
                <w:rFonts w:ascii="仿宋_GB2312" w:hAnsi="仿宋_GB2312" w:cs="仿宋_GB2312" w:eastAsia="仿宋_GB2312"/>
              </w:rPr>
              <w:t>评标委员会根据提供的人员配备响应情况（提供项目组人员名单（包括但不限于厨师长、面点师、服务人员、切配人员等）以及相关证件），同时根据分工的管理模式与配套措施的合理性、可行性、科学性评审后综合赋分： 人员数量充沛专业配备齐全，能完全满足本项目使用需求得(4-6）分。 人员专业配备相对齐全，能基本满足本项目使用需求得(2-4]分。 人员专业配备基本齐全，不能满足本项目使用需求得(0-2]分。 未提供的得0分。 备注：厨师长须达到国家资格证书三级及以上或连续从事本职业3年以上。</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人员考核制度</w:t>
            </w:r>
          </w:p>
        </w:tc>
        <w:tc>
          <w:tcPr>
            <w:tcW w:type="dxa" w:w="2492"/>
          </w:tcPr>
          <w:p>
            <w:pPr>
              <w:pStyle w:val="null3"/>
            </w:pPr>
            <w:r>
              <w:rPr>
                <w:rFonts w:ascii="仿宋_GB2312" w:hAnsi="仿宋_GB2312" w:cs="仿宋_GB2312" w:eastAsia="仿宋_GB2312"/>
              </w:rPr>
              <w:t>根据其提供的人员考核录用、考核淘汰机制、协调关系、服务意识、量化管理及标准运作等情况进行评审后综合赋分： 人员职责清晰，主要技术人员专业能力及综合素质均优秀得(3-5）分。 人员职责较清晰，主要技术人员综合技术能力较强得(1-3]分。 人员职责不够清晰，主要技术人员专业技术能力不足得(0-1]分。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人员管理制度</w:t>
            </w:r>
          </w:p>
        </w:tc>
        <w:tc>
          <w:tcPr>
            <w:tcW w:type="dxa" w:w="2492"/>
          </w:tcPr>
          <w:p>
            <w:pPr>
              <w:pStyle w:val="null3"/>
            </w:pPr>
            <w:r>
              <w:rPr>
                <w:rFonts w:ascii="仿宋_GB2312" w:hAnsi="仿宋_GB2312" w:cs="仿宋_GB2312" w:eastAsia="仿宋_GB2312"/>
              </w:rPr>
              <w:t>根据其提供的人员在岗管理制度，评标委员会综合赋分： 管理制度职责清晰，能完全满足本项目使用需求得(3-5）分。 管理制度职责较清晰，基本满足本项目使用需求得(1-3]分。 管理制度职责不够清晰，针对性稍有欠缺的得(0-1]分。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在岗人员不足应急方案</w:t>
            </w:r>
          </w:p>
        </w:tc>
        <w:tc>
          <w:tcPr>
            <w:tcW w:type="dxa" w:w="2492"/>
          </w:tcPr>
          <w:p>
            <w:pPr>
              <w:pStyle w:val="null3"/>
            </w:pPr>
            <w:r>
              <w:rPr>
                <w:rFonts w:ascii="仿宋_GB2312" w:hAnsi="仿宋_GB2312" w:cs="仿宋_GB2312" w:eastAsia="仿宋_GB2312"/>
              </w:rPr>
              <w:t>供应商针对本项目在岗人员不足情况，提供应急处理方案，评标委员会综合赋分： 方案科学合理、满足项目要求，合理性、针对性强得(2-3）分。 方案有一定的可行性，基本满足项目要求，具有一定的合理性、针对性得(1-2]分。 方案基本可行，合理性、针对性稍有欠缺的得(0-1]分。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供应商针对本项目提供如何保障食堂食品质量以及食品安全事故的相关保障措施，评标委员会综合赋分： 保障措施完善、完全满足项目要求得(4-6）分。 保障措施较完善、基本满足项目要求得(2-4]分。 保障措施不够清晰、针对性稍有欠缺的得(0-2]分。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供餐方案</w:t>
            </w:r>
          </w:p>
        </w:tc>
        <w:tc>
          <w:tcPr>
            <w:tcW w:type="dxa" w:w="2492"/>
          </w:tcPr>
          <w:p>
            <w:pPr>
              <w:pStyle w:val="null3"/>
            </w:pPr>
            <w:r>
              <w:rPr>
                <w:rFonts w:ascii="仿宋_GB2312" w:hAnsi="仿宋_GB2312" w:cs="仿宋_GB2312" w:eastAsia="仿宋_GB2312"/>
              </w:rPr>
              <w:t>供应商针对本项目提供如何保障每日菜品数量及标准达到采购人要求拟定相关保障措施，评标委员会综合赋分： 保障措施完善、完全满足项目要求得(3-5）分。 保障措施较完善、基本满足项目要求得(1-3]分。 保障措施不够完善、针对性稍有欠缺的得(0-1]分。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成本控制措施</w:t>
            </w:r>
          </w:p>
        </w:tc>
        <w:tc>
          <w:tcPr>
            <w:tcW w:type="dxa" w:w="2492"/>
          </w:tcPr>
          <w:p>
            <w:pPr>
              <w:pStyle w:val="null3"/>
            </w:pPr>
            <w:r>
              <w:rPr>
                <w:rFonts w:ascii="仿宋_GB2312" w:hAnsi="仿宋_GB2312" w:cs="仿宋_GB2312" w:eastAsia="仿宋_GB2312"/>
              </w:rPr>
              <w:t>供应商根据采购方的要求，科学、合理确定每周的自助餐食谱，认真确定食品原材料的采购需求，做好成本核算，在满足采购人需求的前提下严格控制成本，坚决杜绝浪费。评标委员会根据其科学性、完善性、可操作性综合赋分： 成本控制方案科学合理、满足项目要求，合理性、针对性强得(4-6）分。 成本控制方案有一定的可行性，基本满足项目要求，具有一定的合理性、针对性得(2-4]分。 成本控制方案基本可行，合理性、针对性稍有欠缺的得(0-2]分。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食品质量监控方案</w:t>
            </w:r>
          </w:p>
        </w:tc>
        <w:tc>
          <w:tcPr>
            <w:tcW w:type="dxa" w:w="2492"/>
          </w:tcPr>
          <w:p>
            <w:pPr>
              <w:pStyle w:val="null3"/>
            </w:pPr>
            <w:r>
              <w:rPr>
                <w:rFonts w:ascii="仿宋_GB2312" w:hAnsi="仿宋_GB2312" w:cs="仿宋_GB2312" w:eastAsia="仿宋_GB2312"/>
              </w:rPr>
              <w:t>供应商针对本项目提供原材料采购、食品加工及食品质量监控方案，评标委员会综合赋分： 食品质量监控方案科学合理、满足项目要求，合理性、针对性强得(4-6）分。 食品质量监控方案有一定的可行性，基本满足项目要求，具有一定的合理性、针对性得(2-4]分。 食品质量监控方案基本可行，合理性、针对性稍有欠缺的得(0-2]分。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供应商在服务过程中确保食品安全事故、员工安全事故和其它安全事故均为“0”的承诺，评标委员会综合赋分： 服务承诺完善、完全满足项目要求得(3-5）分。 服务承诺较完善、基本满足项目要求得(1-3]分。 服务承诺不够完善、针对性稍有欠缺的得(0-1]分。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提供2022年1月1日起至今同类项目业绩（以合同签订时间为准），评审时以响应文件中的扫描件（或复印件）为计分依据。提供一份合同得2分，最高得6分。未提供的得0分。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价格分统一采用低价优先法计算，即满足磋商文件要求且价格最低的报价为磋商基准价，其价格分为满分。其他响应单位的价格分统一按照下列公式计算：磋商报价得分=（评标基准价/磋商报价）×价格权值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