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版本号：JTZB2025-00820250508001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铜川市耀州区2024年度国土变更调查工作</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JTZB2025-008</w:t>
      </w:r>
      <w:r>
        <w:br/>
      </w:r>
      <w:r>
        <w:br/>
      </w:r>
      <w:r>
        <w:br/>
      </w:r>
    </w:p>
    <w:p>
      <w:pPr>
        <w:pStyle w:val="null3"/>
        <w:jc w:val="center"/>
        <w:outlineLvl w:val="2"/>
      </w:pPr>
      <w:r>
        <w:rPr>
          <w:rFonts w:ascii="仿宋_GB2312" w:hAnsi="仿宋_GB2312" w:cs="仿宋_GB2312" w:eastAsia="仿宋_GB2312"/>
          <w:sz w:val="28"/>
          <w:b/>
        </w:rPr>
        <w:t>铜川市自然资源局耀州分局</w:t>
      </w:r>
    </w:p>
    <w:p>
      <w:pPr>
        <w:pStyle w:val="null3"/>
        <w:jc w:val="center"/>
        <w:outlineLvl w:val="2"/>
      </w:pPr>
      <w:r>
        <w:rPr>
          <w:rFonts w:ascii="仿宋_GB2312" w:hAnsi="仿宋_GB2312" w:cs="仿宋_GB2312" w:eastAsia="仿宋_GB2312"/>
          <w:sz w:val="28"/>
          <w:b/>
        </w:rPr>
        <w:t>陕西钧天项目管理有限公司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陕西钧天项目管理有限公司</w:t>
      </w:r>
      <w:r>
        <w:rPr>
          <w:rFonts w:ascii="仿宋_GB2312" w:hAnsi="仿宋_GB2312" w:cs="仿宋_GB2312" w:eastAsia="仿宋_GB2312"/>
        </w:rPr>
        <w:t>（以下简称“代理机构”）受</w:t>
      </w:r>
      <w:r>
        <w:rPr>
          <w:rFonts w:ascii="仿宋_GB2312" w:hAnsi="仿宋_GB2312" w:cs="仿宋_GB2312" w:eastAsia="仿宋_GB2312"/>
        </w:rPr>
        <w:t>铜川市自然资源局耀州分局</w:t>
      </w:r>
      <w:r>
        <w:rPr>
          <w:rFonts w:ascii="仿宋_GB2312" w:hAnsi="仿宋_GB2312" w:cs="仿宋_GB2312" w:eastAsia="仿宋_GB2312"/>
        </w:rPr>
        <w:t>委托，拟对</w:t>
      </w:r>
      <w:r>
        <w:rPr>
          <w:rFonts w:ascii="仿宋_GB2312" w:hAnsi="仿宋_GB2312" w:cs="仿宋_GB2312" w:eastAsia="仿宋_GB2312"/>
        </w:rPr>
        <w:t>铜川市耀州区2024年度国土变更调查工作</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JTZB2025-008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铜川市耀州区2024年度国土变更调查工作</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在2023年度国土变更调查成果基础上，按照国家统一标准，以2024年12月31日为标准时点，开展2024年度全国国土变更调查工作。统筹使用全地类遥感监测等各项监测监管、国土调查与林草湿调查地类对接、日常国土变更调查及自然资源管理等成果，通过县级实地调查核实举证、逐级地类核查、县级数据库更新、市级检查审核、省级核查把关、国家核查确认等工作，全面掌握2024年度国土利用变化情况，更新国土调查数据库，保持国土调查成果的现势性，并做好耕地资源分区分类评价年度更新工作，进一步夯实国土调查成果作为自然资源管理工作底数、底版和底图的工作基础，为城市国土空间规划体检、耕地保护和粮食安全责任制考核做好数据准备，有效支撑高质量发展和国土空间治理现代化。</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采购包1（铜川市耀州区2024年度国土变更调查工作）：属于专门面向小微企业采购。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1、营业执照等主体资格证明：具有独立承担民事责任能力的法人或其他组织，提供有效存续的营业执照或事业单位法人证书或非企业专业服务机构执业许可证或民办非企业单位登记证书或自然人的身份证明；</w:t>
      </w:r>
    </w:p>
    <w:p>
      <w:pPr>
        <w:pStyle w:val="null3"/>
      </w:pPr>
      <w:r>
        <w:rPr>
          <w:rFonts w:ascii="仿宋_GB2312" w:hAnsi="仿宋_GB2312" w:cs="仿宋_GB2312" w:eastAsia="仿宋_GB2312"/>
        </w:rPr>
        <w:t>2、资质证书：供应商须具备行政主管部门颁发的乙级及以上的测绘资质证书；</w:t>
      </w:r>
    </w:p>
    <w:p>
      <w:pPr>
        <w:pStyle w:val="null3"/>
      </w:pPr>
      <w:r>
        <w:rPr>
          <w:rFonts w:ascii="仿宋_GB2312" w:hAnsi="仿宋_GB2312" w:cs="仿宋_GB2312" w:eastAsia="仿宋_GB2312"/>
        </w:rPr>
        <w:t>3、履行能力：供应商须提供具有履行合同所必需的设备和专业技术能力的承诺(加盖供应商公章)；</w:t>
      </w:r>
    </w:p>
    <w:p>
      <w:pPr>
        <w:pStyle w:val="null3"/>
      </w:pPr>
      <w:r>
        <w:rPr>
          <w:rFonts w:ascii="仿宋_GB2312" w:hAnsi="仿宋_GB2312" w:cs="仿宋_GB2312" w:eastAsia="仿宋_GB2312"/>
        </w:rPr>
        <w:t>4、身份证明：法定代表人(主要负责人)委托代理人参加投标时，应提供法定代表人(主要负责人)委托授权书；法定代表人(主要负责人)亲自参加投标时，应提供法定代表人(主要负责人)身份证明书；备注：分支机构由分支机构负责人授权即可；</w:t>
      </w:r>
    </w:p>
    <w:p>
      <w:pPr>
        <w:pStyle w:val="null3"/>
      </w:pPr>
      <w:r>
        <w:rPr>
          <w:rFonts w:ascii="仿宋_GB2312" w:hAnsi="仿宋_GB2312" w:cs="仿宋_GB2312" w:eastAsia="仿宋_GB2312"/>
        </w:rPr>
        <w:t>5、财务状况报告：①提供近三年经审计任意一年的财务报告，包括“ 四表一注”（即资产负债表、利润表、现金流量表、所有者权益变动表（没有可不提供）及其附注，成立时间至提交投标文件截止时间不足一年的可提供成立后任意时段的资产负债表）②在开标截止日前六个月内其开户银行出具的资信证明，以上两种形式的资料提供任何一种即可（分支机构如无法提供财务审计报告，须出具包含分支机构的财务数据的总公司财务审计报告）；事业单位零余额账户提供相应证明</w:t>
      </w:r>
    </w:p>
    <w:p>
      <w:pPr>
        <w:pStyle w:val="null3"/>
      </w:pPr>
      <w:r>
        <w:rPr>
          <w:rFonts w:ascii="仿宋_GB2312" w:hAnsi="仿宋_GB2312" w:cs="仿宋_GB2312" w:eastAsia="仿宋_GB2312"/>
        </w:rPr>
        <w:t>6、税收缴纳证明：提供递交投标文件截止之日前一年内任意一个月的依法缴纳税收的相关凭据，凭据应有税务机关或代收机关的公章或业务专用章；依法免税或无须缴纳税收的供应商，应提供相应证明文件；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7、社会保证缴纳证明：提供递交投标文件截止之日前一年内任意一个月的社会保障资金缴存单据或社保机构开具的社会保险参保缴费情况证明，依法不需要缴纳社会保障资金的供应商应提供相关证明文件；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8、无重大违法记录书面声明：参加本次政府采购活动前3年内在经营活动中没有重大违法记录，以及未被列入失信被执行人、重大税收违法案件当事人名单政府采购严重违法失信行为记录名单的书面声明：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9、信用中国：未在“信用中国”网站（www.creditchina.gov. cn）、“ 中国政府采购网”（ccgp.gov.cn）列入失信被执行人、重大税收违法案件当事人名单、政府采购严重违法失信行为记录名单(提供网页截图并加盖供应商公章）；</w:t>
      </w:r>
    </w:p>
    <w:p>
      <w:pPr>
        <w:pStyle w:val="null3"/>
      </w:pPr>
      <w:r>
        <w:rPr>
          <w:rFonts w:ascii="仿宋_GB2312" w:hAnsi="仿宋_GB2312" w:cs="仿宋_GB2312" w:eastAsia="仿宋_GB2312"/>
        </w:rPr>
        <w:t>10、本项目不接受联合体投标：本项目不接受联合体投标（提供书面声明材料）；</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铜川市自然资源局耀州分局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陕西省铜川市耀州区文营西路31号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铜川市自然资源局耀州分局经办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18609198260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陕西钧天项目管理有限公司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陕西省西安市市辖区陕西省西安市经济技术开发区高铁新城上林路1888号绿城柳岸晓风小区1幢11002室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梁赓</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15529192888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采购包1：2,400,786.00元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计委颁发的《招标代理服务收费管理暂行办法》（计价格[2002]1980号）和国家发展改革委员会办公厅颁发的《关于招标代理服务收费有关问题的通知》（发改办价格[2011]534号）的有关规定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铜川市自然资源局耀州分局</w:t>
      </w:r>
      <w:r>
        <w:rPr>
          <w:rFonts w:ascii="仿宋_GB2312" w:hAnsi="仿宋_GB2312" w:cs="仿宋_GB2312" w:eastAsia="仿宋_GB2312"/>
        </w:rPr>
        <w:t>和</w:t>
      </w:r>
      <w:r>
        <w:rPr>
          <w:rFonts w:ascii="仿宋_GB2312" w:hAnsi="仿宋_GB2312" w:cs="仿宋_GB2312" w:eastAsia="仿宋_GB2312"/>
        </w:rPr>
        <w:t>陕西钧天项目管理有限公司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铜川市自然资源局耀州分局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陕西钧天项目管理有限公司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铜川市自然资源局耀州分局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陕西钧天项目管理有限公司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严格按照招标文件及业主要求参数进行验收，同时满足国家相关规范，规定要求。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陕西钧天项目管理有限公司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陕西钧天项目管理有限公司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陕西钧天项目管理有限公司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联系人：梁赓</w:t>
      </w:r>
    </w:p>
    <w:p>
      <w:pPr>
        <w:pStyle w:val="null3"/>
      </w:pPr>
      <w:r>
        <w:rPr>
          <w:rFonts w:ascii="仿宋_GB2312" w:hAnsi="仿宋_GB2312" w:cs="仿宋_GB2312" w:eastAsia="仿宋_GB2312"/>
        </w:rPr>
        <w:t>联系电话：15529192888</w:t>
      </w:r>
    </w:p>
    <w:p>
      <w:pPr>
        <w:pStyle w:val="null3"/>
      </w:pPr>
      <w:r>
        <w:rPr>
          <w:rFonts w:ascii="仿宋_GB2312" w:hAnsi="仿宋_GB2312" w:cs="仿宋_GB2312" w:eastAsia="仿宋_GB2312"/>
        </w:rPr>
        <w:t>地址：铜川市新区正大路正大办公楼4楼</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在2023年度国土变更调查成果基础上，按照国家统一标准，以2024年12月31日为标准时点，开展2024年度全国国土变更调查工作。统筹使用全地类遥感监测等各项监测监管、国土调查与林草湿调查地类对接、日常国土变更调查及自然资源管理等成果，通过县级实地调查核实举证、逐级地类核查、县级数据库更新、市级检查审核、省级核查把关、国家核查确认等工作，全面掌握2024年度国土利用变化情况，更新国土调查数据库，保持国土调查成果的现势性，并做好耕地资源分区分类评价年度更新工作，进一步夯实国土调查成果作为自然资源管理工作底数、底版和底图的工作基础，为城市国土空间规划体检、耕地保护和粮 食安全责任制考核做好数据准备，有效支撑高质量发展和国土空间治理现代化。</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2,400,786.00</w:t>
      </w:r>
    </w:p>
    <w:p>
      <w:pPr>
        <w:pStyle w:val="null3"/>
      </w:pPr>
      <w:r>
        <w:rPr>
          <w:rFonts w:ascii="仿宋_GB2312" w:hAnsi="仿宋_GB2312" w:cs="仿宋_GB2312" w:eastAsia="仿宋_GB2312"/>
        </w:rPr>
        <w:t>采购包最高限价（元）: 2,400,786.00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2,400,786.00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标的名称：服务类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w:t>
            </w:r>
          </w:p>
          <w:p>
            <w:pPr>
              <w:pStyle w:val="null3"/>
            </w:pPr>
            <w:r>
              <w:rPr>
                <w:rFonts w:ascii="仿宋_GB2312" w:hAnsi="仿宋_GB2312" w:cs="仿宋_GB2312" w:eastAsia="仿宋_GB2312"/>
              </w:rPr>
              <w:t xml:space="preserve">  在2023年度国土变更调查成果基础上，按照国家统一标准，以2024年12月31日为标准时点，开展2024年度全国国土变更调查工作。统筹使用全地类遥感监测等各项监测监管、国土调查与林草湿调查地类对接、日常国土变更调查及自然资源管理等成果，通过县级实地调查核实举证、逐级地类核查、县级数据库更新、市级检查审核、省级核查把关、国家核查确认等工作，全面掌握2024年度国土利用变化情况，更新国土调查数据库，保持国土调查成果的现势性，并做好耕地资源分区分类评价年度更新工作，进一步夯实国土调查成果作为自然资源管理工作底数、底版和底图的工作基础，为城市国土空间规划体检、耕地保护和粮食安全责任制考核做好数据准备，有效支撑高质量发展和国土空间治理现代化。</w:t>
            </w:r>
          </w:p>
          <w:p>
            <w:pPr>
              <w:pStyle w:val="null3"/>
            </w:pPr>
            <w:r>
              <w:rPr>
                <w:rFonts w:ascii="仿宋_GB2312" w:hAnsi="仿宋_GB2312" w:cs="仿宋_GB2312" w:eastAsia="仿宋_GB2312"/>
              </w:rPr>
              <w:t>二、工作依据</w:t>
            </w:r>
          </w:p>
          <w:p>
            <w:pPr>
              <w:pStyle w:val="null3"/>
            </w:pPr>
            <w:r>
              <w:rPr>
                <w:rFonts w:ascii="仿宋_GB2312" w:hAnsi="仿宋_GB2312" w:cs="仿宋_GB2312" w:eastAsia="仿宋_GB2312"/>
              </w:rPr>
              <w:t xml:space="preserve">  1.《自然资源部办公厅关于开展2024年度全国国土变更调查工作的通知》(自然资办发【2024]44号)；</w:t>
            </w:r>
          </w:p>
          <w:p>
            <w:pPr>
              <w:pStyle w:val="null3"/>
            </w:pPr>
            <w:r>
              <w:rPr>
                <w:rFonts w:ascii="仿宋_GB2312" w:hAnsi="仿宋_GB2312" w:cs="仿宋_GB2312" w:eastAsia="仿宋_GB2312"/>
              </w:rPr>
              <w:t xml:space="preserve">  2.《陕西省自然资源厅关于做好2024年度国土变更调查工作的通知》(陕自然资办发〔2024】1502号)</w:t>
            </w:r>
          </w:p>
          <w:p>
            <w:pPr>
              <w:pStyle w:val="null3"/>
            </w:pPr>
            <w:r>
              <w:rPr>
                <w:rFonts w:ascii="仿宋_GB2312" w:hAnsi="仿宋_GB2312" w:cs="仿宋_GB2312" w:eastAsia="仿宋_GB2312"/>
              </w:rPr>
              <w:t xml:space="preserve">  3.《铜川市自然资源局关于做好2024年度国土变更调查工作的通知》（铜自然资办发〔2024〕161号）</w:t>
            </w:r>
          </w:p>
          <w:p>
            <w:pPr>
              <w:pStyle w:val="null3"/>
            </w:pPr>
            <w:r>
              <w:rPr>
                <w:rFonts w:ascii="仿宋_GB2312" w:hAnsi="仿宋_GB2312" w:cs="仿宋_GB2312" w:eastAsia="仿宋_GB2312"/>
              </w:rPr>
              <w:t xml:space="preserve">  4.《第三次全国国土调查技术规程》（TD/T 1055-2019）；</w:t>
            </w:r>
          </w:p>
          <w:p>
            <w:pPr>
              <w:pStyle w:val="null3"/>
            </w:pPr>
            <w:r>
              <w:rPr>
                <w:rFonts w:ascii="仿宋_GB2312" w:hAnsi="仿宋_GB2312" w:cs="仿宋_GB2312" w:eastAsia="仿宋_GB2312"/>
              </w:rPr>
              <w:t xml:space="preserve">  5.《中华人民共和国土地管理法》；</w:t>
            </w:r>
          </w:p>
          <w:p>
            <w:pPr>
              <w:pStyle w:val="null3"/>
            </w:pPr>
            <w:r>
              <w:rPr>
                <w:rFonts w:ascii="仿宋_GB2312" w:hAnsi="仿宋_GB2312" w:cs="仿宋_GB2312" w:eastAsia="仿宋_GB2312"/>
              </w:rPr>
              <w:t xml:space="preserve">  6.《土地调查条例实施办法》；</w:t>
            </w:r>
          </w:p>
          <w:p>
            <w:pPr>
              <w:pStyle w:val="null3"/>
            </w:pPr>
            <w:r>
              <w:rPr>
                <w:rFonts w:ascii="仿宋_GB2312" w:hAnsi="仿宋_GB2312" w:cs="仿宋_GB2312" w:eastAsia="仿宋_GB2312"/>
              </w:rPr>
              <w:t xml:space="preserve">  7.《土地调查条例》。</w:t>
            </w:r>
          </w:p>
          <w:p>
            <w:pPr>
              <w:pStyle w:val="null3"/>
            </w:pPr>
            <w:r>
              <w:rPr>
                <w:rFonts w:ascii="仿宋_GB2312" w:hAnsi="仿宋_GB2312" w:cs="仿宋_GB2312" w:eastAsia="仿宋_GB2312"/>
              </w:rPr>
              <w:t>三、技术要求</w:t>
            </w:r>
          </w:p>
          <w:p>
            <w:pPr>
              <w:pStyle w:val="null3"/>
            </w:pPr>
            <w:r>
              <w:rPr>
                <w:rFonts w:ascii="仿宋_GB2312" w:hAnsi="仿宋_GB2312" w:cs="仿宋_GB2312" w:eastAsia="仿宋_GB2312"/>
              </w:rPr>
              <w:t xml:space="preserve">  2024年度变更调查的数学基础、调查分类、调查精度等技术指标与“三调”一致。</w:t>
            </w:r>
          </w:p>
          <w:p>
            <w:pPr>
              <w:pStyle w:val="null3"/>
            </w:pPr>
            <w:r>
              <w:rPr>
                <w:rFonts w:ascii="仿宋_GB2312" w:hAnsi="仿宋_GB2312" w:cs="仿宋_GB2312" w:eastAsia="仿宋_GB2312"/>
              </w:rPr>
              <w:t xml:space="preserve">  调查界线以2023年度下发的国土调查数据库中的界线为准。县级及以上级别调查界线如果发生变化（包括：名称、代码、界线位置变化）需要调整的，应依据相关主管部门的批准文件及相关资料，报部统一调整并下发各地作为调查控制界线。</w:t>
            </w:r>
          </w:p>
          <w:p>
            <w:pPr>
              <w:pStyle w:val="null3"/>
            </w:pPr>
            <w:r>
              <w:rPr>
                <w:rFonts w:ascii="仿宋_GB2312" w:hAnsi="仿宋_GB2312" w:cs="仿宋_GB2312" w:eastAsia="仿宋_GB2312"/>
              </w:rPr>
              <w:t>四、工作任务</w:t>
            </w:r>
          </w:p>
          <w:p>
            <w:pPr>
              <w:pStyle w:val="null3"/>
            </w:pPr>
            <w:r>
              <w:rPr>
                <w:rFonts w:ascii="仿宋_GB2312" w:hAnsi="仿宋_GB2312" w:cs="仿宋_GB2312" w:eastAsia="仿宋_GB2312"/>
              </w:rPr>
              <w:t xml:space="preserve">  调查单元以2024年12月31日为统一时点，以部下发的2024年度遥感监测成果为基础，结合省级及以下2024年度内监测发现的各类国土利用变化信息以及各类自然资源管理信息，制作2024年度变更调查外业调查工作底图（以下简称“工作底图”) 。可自行采集标准时点前后更高分辨率的遥感影像数据，通过比对2023年度国土调查数据库与最新遥感正射影像图，内业补充提取2024年度各类土地的变化情况。 自行采集生产的遥感正射影像图需与年度变更调查成果一同上报，用于国家级核查。</w:t>
            </w:r>
          </w:p>
          <w:p>
            <w:pPr>
              <w:pStyle w:val="null3"/>
            </w:pPr>
            <w:r>
              <w:rPr>
                <w:rFonts w:ascii="仿宋_GB2312" w:hAnsi="仿宋_GB2312" w:cs="仿宋_GB2312" w:eastAsia="仿宋_GB2312"/>
              </w:rPr>
              <w:t xml:space="preserve">  各调查单元以实地现状认定地类为原则，查清工作底图上每一块变化图斑的地类 、面积、属性、权属等实际情况；对需要举证的图斑，逐一实地拍照举证；日常变更核定图斑结果经2024年度遥感监测一致性核实确认的，可直接按照变更调查要求生成增量数据，无需再次实地举证； 日常变更核定图斑结果与2024年度遥感监测成果不一致的，需再次实地举证；在2023年度国土调查数据库基础上，结合林草湿等专项调查监测工作移交的变化图斑及举证成果，对涉及地类变更的，按照数据库更新技术要求，形成2024年度国土变更调查更新数据增量包，上报省级自然资源主管部门。</w:t>
            </w:r>
          </w:p>
          <w:p>
            <w:pPr>
              <w:pStyle w:val="null3"/>
            </w:pPr>
            <w:r>
              <w:rPr>
                <w:rFonts w:ascii="仿宋_GB2312" w:hAnsi="仿宋_GB2312" w:cs="仿宋_GB2312" w:eastAsia="仿宋_GB2312"/>
              </w:rPr>
              <w:t>五、提交主要成果</w:t>
            </w:r>
          </w:p>
          <w:p>
            <w:pPr>
              <w:pStyle w:val="null3"/>
            </w:pPr>
            <w:r>
              <w:rPr>
                <w:rFonts w:ascii="仿宋_GB2312" w:hAnsi="仿宋_GB2312" w:cs="仿宋_GB2312" w:eastAsia="仿宋_GB2312"/>
              </w:rPr>
              <w:t>（一）遥感监测成果</w:t>
            </w:r>
          </w:p>
          <w:p>
            <w:pPr>
              <w:pStyle w:val="null3"/>
            </w:pPr>
            <w:r>
              <w:rPr>
                <w:rFonts w:ascii="仿宋_GB2312" w:hAnsi="仿宋_GB2312" w:cs="仿宋_GB2312" w:eastAsia="仿宋_GB2312"/>
              </w:rPr>
              <w:t xml:space="preserve">  包括遥感正射影像图、遥感监测图斑。</w:t>
            </w:r>
          </w:p>
          <w:p>
            <w:pPr>
              <w:pStyle w:val="null3"/>
            </w:pPr>
            <w:r>
              <w:rPr>
                <w:rFonts w:ascii="仿宋_GB2312" w:hAnsi="仿宋_GB2312" w:cs="仿宋_GB2312" w:eastAsia="仿宋_GB2312"/>
              </w:rPr>
              <w:t>（二）外业调查成果</w:t>
            </w:r>
          </w:p>
          <w:p>
            <w:pPr>
              <w:pStyle w:val="null3"/>
            </w:pPr>
            <w:r>
              <w:rPr>
                <w:rFonts w:ascii="仿宋_GB2312" w:hAnsi="仿宋_GB2312" w:cs="仿宋_GB2312" w:eastAsia="仿宋_GB2312"/>
              </w:rPr>
              <w:t xml:space="preserve">  包括外业调查图件、地物补测资料、图斑举证数据包（DB格式）。</w:t>
            </w:r>
          </w:p>
          <w:p>
            <w:pPr>
              <w:pStyle w:val="null3"/>
            </w:pPr>
            <w:r>
              <w:rPr>
                <w:rFonts w:ascii="仿宋_GB2312" w:hAnsi="仿宋_GB2312" w:cs="仿宋_GB2312" w:eastAsia="仿宋_GB2312"/>
              </w:rPr>
              <w:t>（三）数据库成果</w:t>
            </w:r>
          </w:p>
          <w:p>
            <w:pPr>
              <w:pStyle w:val="null3"/>
            </w:pPr>
            <w:r>
              <w:rPr>
                <w:rFonts w:ascii="仿宋_GB2312" w:hAnsi="仿宋_GB2312" w:cs="仿宋_GB2312" w:eastAsia="仿宋_GB2312"/>
              </w:rPr>
              <w:t xml:space="preserve">  包括更新后的县级数据库、“变更调查”增量包（含增量信息与统计报表，由数据 库质检软件打包生成）、耕地资源质量分类数据库及相应的数据更新包。</w:t>
            </w:r>
          </w:p>
          <w:p>
            <w:pPr>
              <w:pStyle w:val="null3"/>
            </w:pPr>
            <w:r>
              <w:rPr>
                <w:rFonts w:ascii="仿宋_GB2312" w:hAnsi="仿宋_GB2312" w:cs="仿宋_GB2312" w:eastAsia="仿宋_GB2312"/>
              </w:rPr>
              <w:t>（四）各类报表</w:t>
            </w:r>
          </w:p>
          <w:p>
            <w:pPr>
              <w:pStyle w:val="null3"/>
            </w:pPr>
            <w:r>
              <w:rPr>
                <w:rFonts w:ascii="仿宋_GB2312" w:hAnsi="仿宋_GB2312" w:cs="仿宋_GB2312" w:eastAsia="仿宋_GB2312"/>
              </w:rPr>
              <w:t xml:space="preserve">  包括遥感监测图斑信息核实记录表、各级核查错误图斑列表（MDB格式）、举证 图斑信息表（MDB格式）、各类统计汇总表等。</w:t>
            </w:r>
          </w:p>
          <w:p>
            <w:pPr>
              <w:pStyle w:val="null3"/>
            </w:pPr>
            <w:r>
              <w:rPr>
                <w:rFonts w:ascii="仿宋_GB2312" w:hAnsi="仿宋_GB2312" w:cs="仿宋_GB2312" w:eastAsia="仿宋_GB2312"/>
              </w:rPr>
              <w:t>（五）文字成果</w:t>
            </w:r>
          </w:p>
          <w:p>
            <w:pPr>
              <w:pStyle w:val="null3"/>
            </w:pPr>
            <w:r>
              <w:rPr>
                <w:rFonts w:ascii="仿宋_GB2312" w:hAnsi="仿宋_GB2312" w:cs="仿宋_GB2312" w:eastAsia="仿宋_GB2312"/>
              </w:rPr>
              <w:t xml:space="preserve">  土地利用变化情况分析报告等</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供应商根据文件要求自主填写，要有能保证合同正常履行所需的从业人员。</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供应商根据文件要求自主填写，要有能保证合同正常履行所需的设备。</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在任务发包时，须将承诺调查从业人员参加技术培训并获取省厅颁发的合格证书，且每名从业人员承担的年度变更调查面积省域内累加不得大于100平方千米（供应商需作出承诺并加盖公章）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90日历天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以采购人指定地点为准</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严格按照招标文件及业主要求参数进行验收，同时满足国家相关规范，规定要求。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乙方完成所有外业调查工作</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乙方提交数据成果通过省部级验收</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正式向甲方提交成果资料</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在买方对卖方违约而采取的任何补救措施不受影响的情况下，买方可向卖方发出书面违约通知书，提出终止部分或全部合同： （1）如果卖方未能在合同规定的期限内或买方根据规定同意延长的期限内提供部分或全部货物，或误期赔偿费达到最高限额。 （2）如果卖方未能履行合同规定的其它任何义务。 （3）如果买方认为卖方在本合同的竞争和实施过程中有腐败和欺诈行为。为此目的，定义下述条件：“腐败行为”是指提供、给予、接受或索取任何有价值的物品来影响买方在采购过程或合同实施过程中的行为。 “欺诈行为”是指为了影响采购过程或合同实施过程而谎报或隐瞒事实，损害买方利益的行为。 因执行本合同所发生的或与本合同有关的一切争议,双方应通过友好协商解决。 如果协商开始后六十天还不能解决，双方可依以下一种方式解决： 1、双方达成仲裁协议，向约定的仲裁委员会申请仲裁。 2、向有管辖权的人民法院起诉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中小企业声明函 残疾人福利性单位声明函 监狱企业的证明文件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w:t>
            </w:r>
          </w:p>
        </w:tc>
        <w:tc>
          <w:tcPr>
            <w:tcW w:type="dxa" w:w="3322"/>
          </w:tcPr>
          <w:p>
            <w:pPr>
              <w:pStyle w:val="null3"/>
            </w:pPr>
            <w:r>
              <w:rPr>
                <w:rFonts w:ascii="仿宋_GB2312" w:hAnsi="仿宋_GB2312" w:cs="仿宋_GB2312" w:eastAsia="仿宋_GB2312"/>
              </w:rPr>
              <w:t>具有独立承担民事责任能力的法人或其他组织，提供有效存续的营业执照或事业单位法人证书或非企业专业服务机构执业许可证或民办非企业单位登记证书或自然人的身份证明；</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供应商须具备行政主管部门颁发的乙级及以上的测绘资质证书；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履行能力</w:t>
            </w:r>
          </w:p>
        </w:tc>
        <w:tc>
          <w:tcPr>
            <w:tcW w:type="dxa" w:w="3322"/>
          </w:tcPr>
          <w:p>
            <w:pPr>
              <w:pStyle w:val="null3"/>
            </w:pPr>
            <w:r>
              <w:rPr>
                <w:rFonts w:ascii="仿宋_GB2312" w:hAnsi="仿宋_GB2312" w:cs="仿宋_GB2312" w:eastAsia="仿宋_GB2312"/>
              </w:rPr>
              <w:t>供应商须提供具有履行合同所必需的设备和专业技术能力的承诺(加盖供应商公章)；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主要负责人)委托代理人参加投标时，应提供法定代表人(主要负责人)委托授权书；法定代表人(主要负责人)亲自参加投标时，应提供法定代表人(主要负责人)身份证明书；备注：分支机构由分支机构负责人授权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①提供近三年经审计任意一年的财务报告，包括“ 四表一注”（即资产负债表、利润表、现金流量表、所有者权益变动表（没有可不提供）及其附注，成立时间至提交投标文件截止时间不足一年的可提供成立后任意时段的资产负债表）②在开标截止日前六个月内其开户银行出具的资信证明，以上两种形式的资料提供任何一种即可（分支机构如无法提供财务审计报告，须出具包含分支机构的财务数据的总公司财务审计报告）；事业单位零余额账户提供相应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社会保证缴纳证明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参加本次政府采购活动前3年内在经营活动中没有重大违法记录，以及未被列入失信被执行人、重大税收违法案件当事人名单政府采购严重违法失信行为记录名单的书面声明：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未在“信用中国”网站（www.creditchina.gov. cn）、“ 中国政府采购网”（ccgp.gov.cn）列入失信被执行人、重大税收违法案件当事人名单、政府采购严重违法失信行为记录名单(提供网页截图并加盖供应商公章）；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本项目不接受联合体投标（提供书面声明材料）；</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对项目的解读与掌握</w:t>
            </w:r>
          </w:p>
        </w:tc>
        <w:tc>
          <w:tcPr>
            <w:tcW w:type="dxa" w:w="2492"/>
          </w:tcPr>
          <w:p>
            <w:pPr>
              <w:pStyle w:val="null3"/>
            </w:pPr>
            <w:r>
              <w:rPr>
                <w:rFonts w:ascii="仿宋_GB2312" w:hAnsi="仿宋_GB2312" w:cs="仿宋_GB2312" w:eastAsia="仿宋_GB2312"/>
              </w:rPr>
              <w:t>解读全面，掌握项目相关情况，贴近项目实际需求，能较好地履约计4.1-7分；解读基本准确，了解项目相关情况，能满足项目实际需求，保证履约的计2.1-4分；解读不准确，不利于项目履约计0.1-2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工作背景目的及内容</w:t>
            </w:r>
          </w:p>
        </w:tc>
        <w:tc>
          <w:tcPr>
            <w:tcW w:type="dxa" w:w="2492"/>
          </w:tcPr>
          <w:p>
            <w:pPr>
              <w:pStyle w:val="null3"/>
            </w:pPr>
            <w:r>
              <w:rPr>
                <w:rFonts w:ascii="仿宋_GB2312" w:hAnsi="仿宋_GB2312" w:cs="仿宋_GB2312" w:eastAsia="仿宋_GB2312"/>
              </w:rPr>
              <w:t>对本项目的工作背景目的及内容描述清楚明确详实的计4.1-7分；对本项目的工作背景目的及内容基本描述清楚的计2.1-4分；对本项目的工作背景目的及内容描述不准确的计0.1-2分；未提供不计分。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技术路线和方法</w:t>
            </w:r>
          </w:p>
        </w:tc>
        <w:tc>
          <w:tcPr>
            <w:tcW w:type="dxa" w:w="2492"/>
          </w:tcPr>
          <w:p>
            <w:pPr>
              <w:pStyle w:val="null3"/>
            </w:pPr>
            <w:r>
              <w:rPr>
                <w:rFonts w:ascii="仿宋_GB2312" w:hAnsi="仿宋_GB2312" w:cs="仿宋_GB2312" w:eastAsia="仿宋_GB2312"/>
              </w:rPr>
              <w:t>项目实施的技术路线清晰、全面，方法科学合理，技术指标明确计6.1-8分；项目实施的技术路线基本清晰全面，方法可行计3.1-6分；项目实施的技术路线不够清晰，方法简单不利于项目实施的计0.1-3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工作流程</w:t>
            </w:r>
          </w:p>
        </w:tc>
        <w:tc>
          <w:tcPr>
            <w:tcW w:type="dxa" w:w="2492"/>
          </w:tcPr>
          <w:p>
            <w:pPr>
              <w:pStyle w:val="null3"/>
            </w:pPr>
            <w:r>
              <w:rPr>
                <w:rFonts w:ascii="仿宋_GB2312" w:hAnsi="仿宋_GB2312" w:cs="仿宋_GB2312" w:eastAsia="仿宋_GB2312"/>
              </w:rPr>
              <w:t>能够按照工作内容全面梳理项目实施阶段各工作流程，流程清浙、方法得当、可行性强，完全满足采购人的要求计5.1-8分；流程基本全面，满足采购人要求计2.1-5分；技术方法及流程不完善，不利于项目实施的计0.1-2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结合本项目要求，阐述服务时效及进度的保障措施，时间进度安排合理、可行，完全满足采购要求计4.1-7分；措施基本合理，满足项目需求计2.1-4分；措施简单，不利于项目实施计0.1-2分；未提供不计分。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结合本项目要求阐述服务质量保障措施及所配备的专业设施设备等。设施设备有保障，服务质量的保障措施科学合理、具体可行计4.1-7分；设施设备满足项目需求，保障措施基本合理计2.1-4分；配有设施设备，但保障措施简单、不利于项目实施计0.1-2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预期成果</w:t>
            </w:r>
          </w:p>
        </w:tc>
        <w:tc>
          <w:tcPr>
            <w:tcW w:type="dxa" w:w="2492"/>
          </w:tcPr>
          <w:p>
            <w:pPr>
              <w:pStyle w:val="null3"/>
            </w:pPr>
            <w:r>
              <w:rPr>
                <w:rFonts w:ascii="仿宋_GB2312" w:hAnsi="仿宋_GB2312" w:cs="仿宋_GB2312" w:eastAsia="仿宋_GB2312"/>
              </w:rPr>
              <w:t>预期成果分类合理、内容齐全、成果描述具体详实的计3.1-5分；预期成果分类基本合理、内容基本齐全，并对成果进行相关描述的计1.1-3分；预期成果分类不合理、内容缺失的计0.1-1分；未提供不计分。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意见建议</w:t>
            </w:r>
          </w:p>
        </w:tc>
        <w:tc>
          <w:tcPr>
            <w:tcW w:type="dxa" w:w="2492"/>
          </w:tcPr>
          <w:p>
            <w:pPr>
              <w:pStyle w:val="null3"/>
            </w:pPr>
            <w:r>
              <w:rPr>
                <w:rFonts w:ascii="仿宋_GB2312" w:hAnsi="仿宋_GB2312" w:cs="仿宋_GB2312" w:eastAsia="仿宋_GB2312"/>
              </w:rPr>
              <w:t>提出的意见建议有益于本项目在技术、质量、进度或管理等方面进行改进的计3.1-4分；提出的意见建议基本有益于本项目在技术、质量、进度或管理等方面进行改进的计1.1-3分；提出的意见建议不益于本项目在技术、质量、进度或管理等方面进行改进的计0.1-1分，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供应商提供2022年5月1日至今(以合同签订日期为准，提供合同复印件或扫描件加盖公章)已完成的类似项目业绩，每提供1份得2.5分，最高计5分。未提供的不得分。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拟派技术负责人具有相关专业(包含但不限于测绘或土地管理等)高级及以上工程师职称并通过省厅组织的技术培训，获取省厅颁发的合格证书的计2分，不满足不得分；拟投入本项目的其他人员(除技术负责人以外)中具有相关专业(包含但不限于测绘、规划、地理信息系统等)中级及以上工程师职称并通过省厅组织的技术培训，获取省厅颁发的合格证书的，每提供1个计0.5分，最多得3分。注：以上人员不重复计分，响应文件中附以上所有人员职称证复印件，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项目组织机构及人员配置</w:t>
            </w:r>
          </w:p>
        </w:tc>
        <w:tc>
          <w:tcPr>
            <w:tcW w:type="dxa" w:w="2492"/>
          </w:tcPr>
          <w:p>
            <w:pPr>
              <w:pStyle w:val="null3"/>
            </w:pPr>
            <w:r>
              <w:rPr>
                <w:rFonts w:ascii="仿宋_GB2312" w:hAnsi="仿宋_GB2312" w:cs="仿宋_GB2312" w:eastAsia="仿宋_GB2312"/>
              </w:rPr>
              <w:t>本项目拟投入人员(含技术负责人)的工作经验及组织架构是否满足项目需求。架构合理，人员配置齐全、岗位分配合理、团队人员经验丰富，完全满足项目需求计2.1-4分；架构及人员配置基本合理，满足项目需求计1.1-2分；人员配置欠缺、不利于项目实施的计0.1-1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根据本项目的服务内容，做出切实可行的服务承诺，确保项目能按时按质完成，达到服务要求且能保证项目质量。承诺内容清晰、承诺指标明确，后续服务具有可延续性计2.1-4分；承诺及措施科学合理，基本满足项目需求计0.1-2分，未提供的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供应商人须提供针对本项目的保密措施，有完善的保密机制或具备保密能力的证明(可提供相关保密资格证书),并承诺参与本次项目的所有实施人员必须与采购人签订保密协议，确保信息数据不外泄。保密措施完善、承诺满足项目需求计2.1-4分；有保密措施、承诺满足项目需求计0.1-2分；未提供的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重点、难点及实施方案分析</w:t>
            </w:r>
          </w:p>
        </w:tc>
        <w:tc>
          <w:tcPr>
            <w:tcW w:type="dxa" w:w="2492"/>
          </w:tcPr>
          <w:p>
            <w:pPr>
              <w:pStyle w:val="null3"/>
            </w:pPr>
            <w:r>
              <w:rPr>
                <w:rFonts w:ascii="仿宋_GB2312" w:hAnsi="仿宋_GB2312" w:cs="仿宋_GB2312" w:eastAsia="仿宋_GB2312"/>
              </w:rPr>
              <w:t>供应商针对本项目的重、难点及实施方案进行分析。思路清晰，重、难点分析准确、对项目理解充分计7.1-10分；思路基本清晰，有重、难点分析，基本了解项目需求计3.1-7;思路混乱，未体现重、难点且没有准确理解项目实施目的计0.1-3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