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版本号：YAZBTC2025-00220250428001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铜川市数字金融服务平台(一期)建设运营项目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YAZBTC2025-002</w:t>
      </w:r>
      <w:r>
        <w:br/>
      </w:r>
      <w:r>
        <w:br/>
      </w:r>
      <w:r>
        <w:br/>
      </w:r>
    </w:p>
    <w:p>
      <w:pPr>
        <w:pStyle w:val="null3"/>
        <w:jc w:val="center"/>
        <w:outlineLvl w:val="2"/>
      </w:pPr>
      <w:r>
        <w:rPr>
          <w:rFonts w:ascii="仿宋_GB2312" w:hAnsi="仿宋_GB2312" w:cs="仿宋_GB2312" w:eastAsia="仿宋_GB2312"/>
          <w:sz w:val="28"/>
          <w:b/>
        </w:rPr>
        <w:t>铜川市数据中心</w:t>
      </w:r>
    </w:p>
    <w:p>
      <w:pPr>
        <w:pStyle w:val="null3"/>
        <w:jc w:val="center"/>
        <w:outlineLvl w:val="2"/>
      </w:pPr>
      <w:r>
        <w:rPr>
          <w:rFonts w:ascii="仿宋_GB2312" w:hAnsi="仿宋_GB2312" w:cs="仿宋_GB2312" w:eastAsia="仿宋_GB2312"/>
          <w:sz w:val="28"/>
          <w:b/>
        </w:rPr>
        <w:t>镱安项目管理有限公司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镱安项目管理有限公司</w:t>
      </w:r>
      <w:r>
        <w:rPr>
          <w:rFonts w:ascii="仿宋_GB2312" w:hAnsi="仿宋_GB2312" w:cs="仿宋_GB2312" w:eastAsia="仿宋_GB2312"/>
        </w:rPr>
        <w:t>（以下简称“代理机构”）受</w:t>
      </w:r>
      <w:r>
        <w:rPr>
          <w:rFonts w:ascii="仿宋_GB2312" w:hAnsi="仿宋_GB2312" w:cs="仿宋_GB2312" w:eastAsia="仿宋_GB2312"/>
        </w:rPr>
        <w:t>铜川市数据中心</w:t>
      </w:r>
      <w:r>
        <w:rPr>
          <w:rFonts w:ascii="仿宋_GB2312" w:hAnsi="仿宋_GB2312" w:cs="仿宋_GB2312" w:eastAsia="仿宋_GB2312"/>
        </w:rPr>
        <w:t>委托，拟对</w:t>
      </w:r>
      <w:r>
        <w:rPr>
          <w:rFonts w:ascii="仿宋_GB2312" w:hAnsi="仿宋_GB2312" w:cs="仿宋_GB2312" w:eastAsia="仿宋_GB2312"/>
        </w:rPr>
        <w:t>铜川市数字金融服务平台(一期)建设运营项目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YAZBTC2025-002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铜川市数字金融服务平台(一期)建设运营项目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主要包括建设数字金融服务门户网站、数字金融服务系统、数据归集治理系统、信用评价系统、智能服务系统、决策 风控系统、业务系统对接等。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采购包1（铜川市数字金融服务平台(一期)建设运营项目）：属于专门面向中小企业采购。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1、供应商是法人或其他 组织的应提供营业执 照等证明文件：供应商具有独立承担民事责任能力的法人、其他组织或自然人，并出具合法有效的营业执 照或事业单位法人证书等国家规定的相关证明，自然人参与的提供其身份证明；</w:t>
      </w:r>
    </w:p>
    <w:p>
      <w:pPr>
        <w:pStyle w:val="null3"/>
      </w:pPr>
      <w:r>
        <w:rPr>
          <w:rFonts w:ascii="仿宋_GB2312" w:hAnsi="仿宋_GB2312" w:cs="仿宋_GB2312" w:eastAsia="仿宋_GB2312"/>
        </w:rPr>
        <w:t>2、财务状况报告：供应商提供具有财务审计资质单位出具的2023或2024年度财务报告或投标前六个月内其基本账 户银行出具的资信证明或政府采购信用担保机构出具的投标担保函；</w:t>
      </w:r>
    </w:p>
    <w:p>
      <w:pPr>
        <w:pStyle w:val="null3"/>
      </w:pPr>
      <w:r>
        <w:rPr>
          <w:rFonts w:ascii="仿宋_GB2312" w:hAnsi="仿宋_GB2312" w:cs="仿宋_GB2312" w:eastAsia="仿宋_GB2312"/>
        </w:rPr>
        <w:t>3、税收交纳证明：供应商提供截止至投标时间前六个月内任意二个月的缴费凭据；（依法免税的供应商应提 供相关文件证明）；</w:t>
      </w:r>
    </w:p>
    <w:p>
      <w:pPr>
        <w:pStyle w:val="null3"/>
      </w:pPr>
      <w:r>
        <w:rPr>
          <w:rFonts w:ascii="仿宋_GB2312" w:hAnsi="仿宋_GB2312" w:cs="仿宋_GB2312" w:eastAsia="仿宋_GB2312"/>
        </w:rPr>
        <w:t>4、社会保障资金交纳证 明：供应商提供截止至投标时间前六个月内任意二个月的社保缴费凭据或社保机构开具的社会 保险参保缴费情况证明；（依法不需要交纳社会保障资金的供应商应提供相关证明）；</w:t>
      </w:r>
    </w:p>
    <w:p>
      <w:pPr>
        <w:pStyle w:val="null3"/>
      </w:pPr>
      <w:r>
        <w:rPr>
          <w:rFonts w:ascii="仿宋_GB2312" w:hAnsi="仿宋_GB2312" w:cs="仿宋_GB2312" w:eastAsia="仿宋_GB2312"/>
        </w:rPr>
        <w:t>5、承诺、说明及书面声 明：1、提供具有履行本合同所必需的设备和专业技术能力的说明及承诺； 2、提供参加政府 采购活动前三年内在经营活动中没有重大违法记录的书面声明；</w:t>
      </w:r>
    </w:p>
    <w:p>
      <w:pPr>
        <w:pStyle w:val="null3"/>
      </w:pPr>
      <w:r>
        <w:rPr>
          <w:rFonts w:ascii="仿宋_GB2312" w:hAnsi="仿宋_GB2312" w:cs="仿宋_GB2312" w:eastAsia="仿宋_GB2312"/>
        </w:rPr>
        <w:t>6、法定代表人授权书/ 法定代表人身份证明：法定代表人参与投标时需提供法定代表人身份证复印件；被授权人参与投标时需提供法定 代 表人授权委托书；</w:t>
      </w:r>
    </w:p>
    <w:p>
      <w:pPr>
        <w:pStyle w:val="null3"/>
      </w:pPr>
      <w:r>
        <w:rPr>
          <w:rFonts w:ascii="仿宋_GB2312" w:hAnsi="仿宋_GB2312" w:cs="仿宋_GB2312" w:eastAsia="仿宋_GB2312"/>
        </w:rPr>
        <w:t>7、信用查询：供应商不得为“信用中国(www.creditchina.gov.cn)”中列入失信被执行人名单的供应商 ，不得为“中国政府采购网(www.ccgp.gov.cn)”政府采购严重违法失信行为记录名单中 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铜川市数据中心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铜川市数据中心经办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15129577531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镱安项目管理有限公司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陕西省西安市新城区陕西省西安市新城区石家街127号东岸国际17层1702室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13509199123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采购包1：1,939,000.00元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 采 行办 法》的通知（计价格〔 行 2002 〕1980 号）、《国家发展和 号 改革委员会办公厅关于招标代 理服务收费有关问题的通知》（发 改 改办价格〔 改 2003 〕857 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铜川市数据中心</w:t>
      </w:r>
      <w:r>
        <w:rPr>
          <w:rFonts w:ascii="仿宋_GB2312" w:hAnsi="仿宋_GB2312" w:cs="仿宋_GB2312" w:eastAsia="仿宋_GB2312"/>
        </w:rPr>
        <w:t>和</w:t>
      </w:r>
      <w:r>
        <w:rPr>
          <w:rFonts w:ascii="仿宋_GB2312" w:hAnsi="仿宋_GB2312" w:cs="仿宋_GB2312" w:eastAsia="仿宋_GB2312"/>
        </w:rPr>
        <w:t>镱安项目管理有限公司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铜川市数据中心</w:t>
      </w:r>
      <w:r>
        <w:rPr>
          <w:rFonts w:ascii="仿宋_GB2312" w:hAnsi="仿宋_GB2312" w:cs="仿宋_GB2312" w:eastAsia="仿宋_GB2312"/>
        </w:rPr>
        <w:t>负责解释。除上述招标文件内容，其他内容由</w:t>
      </w:r>
      <w:r>
        <w:rPr>
          <w:rFonts w:ascii="仿宋_GB2312" w:hAnsi="仿宋_GB2312" w:cs="仿宋_GB2312" w:eastAsia="仿宋_GB2312"/>
        </w:rPr>
        <w:t>镱安项目管理有限公司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铜川市数据中心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镱安项目管理有限公司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满足相关技术规范、服务合同及采购人要求。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联系人：王辉</w:t>
      </w:r>
    </w:p>
    <w:p>
      <w:pPr>
        <w:pStyle w:val="null3"/>
      </w:pPr>
      <w:r>
        <w:rPr>
          <w:rFonts w:ascii="仿宋_GB2312" w:hAnsi="仿宋_GB2312" w:cs="仿宋_GB2312" w:eastAsia="仿宋_GB2312"/>
        </w:rPr>
        <w:t>联系电话：13509199123</w:t>
      </w:r>
    </w:p>
    <w:p>
      <w:pPr>
        <w:pStyle w:val="null3"/>
      </w:pPr>
      <w:r>
        <w:rPr>
          <w:rFonts w:ascii="仿宋_GB2312" w:hAnsi="仿宋_GB2312" w:cs="仿宋_GB2312" w:eastAsia="仿宋_GB2312"/>
        </w:rPr>
        <w:t>地址：陕西省西安市新城区陕西省西安市新城区石家街127号东岸国际17层1702室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主要包括建设数字金融服务门户网站、数字金融服务系统、数据归集治理系统、信用评价系统、智能服务系统、决策风控系统、业务系统对接等。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1,939,000.00</w:t>
      </w:r>
    </w:p>
    <w:p>
      <w:pPr>
        <w:pStyle w:val="null3"/>
      </w:pPr>
      <w:r>
        <w:rPr>
          <w:rFonts w:ascii="仿宋_GB2312" w:hAnsi="仿宋_GB2312" w:cs="仿宋_GB2312" w:eastAsia="仿宋_GB2312"/>
        </w:rPr>
        <w:t>采购包最高限价（元）: 1,939,000.00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铜川市数字金融服务平台(一期)建设运营项目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1,939,000.00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标的名称：铜川市数字金融服务平台(一期)建设运营项目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645"/>
              <w:jc w:val="center"/>
            </w:pPr>
            <w:r>
              <w:rPr>
                <w:rFonts w:ascii="仿宋_GB2312" w:hAnsi="仿宋_GB2312" w:cs="仿宋_GB2312" w:eastAsia="仿宋_GB2312"/>
                <w:sz w:val="44"/>
                <w:b/>
              </w:rPr>
              <w:t>采购内容</w:t>
            </w:r>
          </w:p>
          <w:p>
            <w:pPr>
              <w:pStyle w:val="null3"/>
              <w:numPr>
                <w:ilvl w:val="0"/>
                <w:numId w:val="1"/>
              </w:numPr>
              <w:ind w:left="765"/>
            </w:pPr>
            <w:r>
              <w:rPr>
                <w:rFonts w:ascii="仿宋_GB2312" w:hAnsi="仿宋_GB2312" w:cs="仿宋_GB2312" w:eastAsia="仿宋_GB2312"/>
                <w:sz w:val="28"/>
                <w:b/>
                <w:color w:val="000000"/>
              </w:rPr>
              <w:t>建设目标</w:t>
            </w:r>
          </w:p>
          <w:p>
            <w:pPr>
              <w:pStyle w:val="null3"/>
              <w:ind w:firstLine="560"/>
            </w:pPr>
            <w:r>
              <w:rPr>
                <w:rFonts w:ascii="仿宋_GB2312" w:hAnsi="仿宋_GB2312" w:cs="仿宋_GB2312" w:eastAsia="仿宋_GB2312"/>
                <w:sz w:val="28"/>
                <w:b/>
                <w:color w:val="000000"/>
              </w:rPr>
              <w:t>以</w:t>
            </w:r>
            <w:r>
              <w:rPr>
                <w:rFonts w:ascii="仿宋_GB2312" w:hAnsi="仿宋_GB2312" w:cs="仿宋_GB2312" w:eastAsia="仿宋_GB2312"/>
                <w:sz w:val="28"/>
                <w:b/>
                <w:color w:val="000000"/>
              </w:rPr>
              <w:t>“政府主导、银企参与、市场化运作”为原则，通过整合政府部门和银行、金融机构、中介服务机构、中小企业等主体的资源，打造基于企业信用提供一站式金融服务的平台，有效缓解中小企业信用缺失、金融机构获取企业信息渠道不畅和企业融资难、融资贵的问题，推动金融业高质量发展，为实体经济提供更好的服务，探索创新金融科技服务新模式，实现政银企三赢。</w:t>
            </w:r>
          </w:p>
          <w:p>
            <w:pPr>
              <w:pStyle w:val="null3"/>
              <w:numPr>
                <w:ilvl w:val="0"/>
                <w:numId w:val="1"/>
              </w:numPr>
              <w:ind w:left="765"/>
            </w:pPr>
            <w:r>
              <w:rPr>
                <w:rFonts w:ascii="仿宋_GB2312" w:hAnsi="仿宋_GB2312" w:cs="仿宋_GB2312" w:eastAsia="仿宋_GB2312"/>
                <w:sz w:val="28"/>
                <w:b/>
                <w:color w:val="000000"/>
              </w:rPr>
              <w:t>建设内容</w:t>
            </w:r>
          </w:p>
          <w:p>
            <w:pPr>
              <w:pStyle w:val="null3"/>
              <w:ind w:firstLine="560"/>
            </w:pPr>
            <w:r>
              <w:rPr>
                <w:rFonts w:ascii="仿宋_GB2312" w:hAnsi="仿宋_GB2312" w:cs="仿宋_GB2312" w:eastAsia="仿宋_GB2312"/>
                <w:sz w:val="28"/>
                <w:b/>
                <w:color w:val="000000"/>
              </w:rPr>
              <w:t>主要包括建设数字金融服务门户网站、数字金融服务系统、数据归集治理系统、信用评价系统、智能服务系统、决策风控系统、业务系统对接等。</w:t>
            </w:r>
          </w:p>
          <w:p>
            <w:pPr>
              <w:pStyle w:val="null3"/>
              <w:ind w:firstLine="560"/>
            </w:pPr>
            <w:r>
              <w:rPr>
                <w:rFonts w:ascii="仿宋_GB2312" w:hAnsi="仿宋_GB2312" w:cs="仿宋_GB2312" w:eastAsia="仿宋_GB2312"/>
                <w:sz w:val="28"/>
                <w:b/>
                <w:color w:val="000000"/>
              </w:rPr>
              <w:t>1.建设铜川数字金融服务门户网站，做为面向社会的金融服务窗口，是为企业、金融机构和金融机构提供信息展示和查询的重要载体，通过建立政府指导协调、部门联系支持、银行主动服务、企业诚信发展的联动机制，打造合作载体，实现银企沟通合作经常化、制度化、规范化。</w:t>
            </w:r>
          </w:p>
          <w:p>
            <w:pPr>
              <w:pStyle w:val="null3"/>
              <w:ind w:firstLine="560"/>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1）网站功能栏目包括运行概览、推荐产品、金融产品、融资案例、政策资讯、特色专区、金融机构、注册登录、我的政策、后台管理等栏目功能。</w:t>
            </w:r>
          </w:p>
          <w:p>
            <w:pPr>
              <w:pStyle w:val="null3"/>
              <w:ind w:firstLine="560"/>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2）实现与铜川政务服务APP对接，通过手机端实现金融产品展示、融资需求、政策扶持等功能。企业登录后可上传融资需求，查询政策扶持等信息。</w:t>
            </w:r>
          </w:p>
          <w:p>
            <w:pPr>
              <w:pStyle w:val="null3"/>
              <w:ind w:firstLine="562"/>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数字金融服务系统，</w:t>
            </w:r>
            <w:r>
              <w:rPr>
                <w:rFonts w:ascii="仿宋_GB2312" w:hAnsi="仿宋_GB2312" w:cs="仿宋_GB2312" w:eastAsia="仿宋_GB2312"/>
                <w:sz w:val="28"/>
                <w:b/>
                <w:color w:val="000000"/>
              </w:rPr>
              <w:t>建设企业用户、金融机构、政府部门业务工作台，创建企业信用核查、金融业务监管、</w:t>
            </w:r>
            <w:r>
              <w:rPr>
                <w:rFonts w:ascii="仿宋_GB2312" w:hAnsi="仿宋_GB2312" w:cs="仿宋_GB2312" w:eastAsia="仿宋_GB2312"/>
                <w:sz w:val="28"/>
                <w:b/>
                <w:color w:val="000000"/>
              </w:rPr>
              <w:t>“四促进”金融服务专区。</w:t>
            </w:r>
            <w:r>
              <w:rPr>
                <w:rFonts w:ascii="仿宋_GB2312" w:hAnsi="仿宋_GB2312" w:cs="仿宋_GB2312" w:eastAsia="仿宋_GB2312"/>
                <w:sz w:val="28"/>
                <w:b/>
                <w:color w:val="000000"/>
              </w:rPr>
              <w:t>通过平台连通企业、政府部门、金融机构、网络平台、第三方数据机构等多方主体，打造全方位、综合性、生态化、一站式信用金融服务。</w:t>
            </w:r>
          </w:p>
          <w:p>
            <w:pPr>
              <w:pStyle w:val="null3"/>
              <w:ind w:firstLine="560"/>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1）服务企业用户</w:t>
            </w:r>
          </w:p>
          <w:p>
            <w:pPr>
              <w:pStyle w:val="null3"/>
              <w:ind w:firstLine="560"/>
            </w:pPr>
            <w:r>
              <w:rPr>
                <w:rFonts w:ascii="仿宋_GB2312" w:hAnsi="仿宋_GB2312" w:cs="仿宋_GB2312" w:eastAsia="仿宋_GB2312"/>
                <w:sz w:val="28"/>
                <w:b/>
                <w:color w:val="000000"/>
              </w:rPr>
              <w:t>针对企业用户，建设工作台、企业注册认证、我的融资、黑名单筛查认证、自主申报、我的建议、我的收藏等功能。企业通过实名认证注册后，可登录平台发布融资需求信息，进行金融产品选择、融资进度查询，金融机构查看后可主动与企业对接。</w:t>
            </w:r>
          </w:p>
          <w:p>
            <w:pPr>
              <w:pStyle w:val="null3"/>
              <w:ind w:firstLine="560"/>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2）服务金融机构</w:t>
            </w:r>
          </w:p>
          <w:p>
            <w:pPr>
              <w:pStyle w:val="null3"/>
              <w:ind w:firstLine="560"/>
            </w:pPr>
            <w:r>
              <w:rPr>
                <w:rFonts w:ascii="仿宋_GB2312" w:hAnsi="仿宋_GB2312" w:cs="仿宋_GB2312" w:eastAsia="仿宋_GB2312"/>
                <w:sz w:val="28"/>
                <w:b/>
                <w:color w:val="000000"/>
              </w:rPr>
              <w:t>针对金融机构，建设工作台、机构管理、企业管理、客户经理管理、订单管理、产品管理、贷款获客管理、授权管理、数据中心等功能。为金融机构提供金融产品发布、在线审核授信、在线跟踪服务等。金融机构入驻后，通过金融产品发布个性化的金融产品，在企业申请金融产品后，银行客户经理可进行企业信用状况查询，进行贷前、贷中、贷后全流程业务跟踪管理。</w:t>
            </w:r>
          </w:p>
          <w:p>
            <w:pPr>
              <w:pStyle w:val="null3"/>
              <w:ind w:firstLine="560"/>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3）服务政府、金融监管机构</w:t>
            </w:r>
          </w:p>
          <w:p>
            <w:pPr>
              <w:pStyle w:val="null3"/>
              <w:ind w:firstLine="560"/>
            </w:pPr>
            <w:r>
              <w:rPr>
                <w:rFonts w:ascii="仿宋_GB2312" w:hAnsi="仿宋_GB2312" w:cs="仿宋_GB2312" w:eastAsia="仿宋_GB2312"/>
                <w:sz w:val="28"/>
                <w:b/>
                <w:color w:val="000000"/>
              </w:rPr>
              <w:t>针对政府机构，建设工作平台、机构管理、企业管理、订单管理、产品管理、白名单管理、金融业务监管、数据中心等功能。为政府部门提供融资成效展示、融资监管、政策发布、一屏总览等服务，实时掌握企业融资需求情况、放款金额、放款成功率、坏账笔数、最新融资动态等。</w:t>
            </w:r>
          </w:p>
          <w:p>
            <w:pPr>
              <w:pStyle w:val="null3"/>
              <w:ind w:firstLine="560"/>
            </w:pPr>
            <w:r>
              <w:rPr>
                <w:rFonts w:ascii="仿宋_GB2312" w:hAnsi="仿宋_GB2312" w:cs="仿宋_GB2312" w:eastAsia="仿宋_GB2312"/>
                <w:sz w:val="28"/>
                <w:b/>
                <w:color w:val="000000"/>
              </w:rPr>
              <w:t>3.</w:t>
            </w:r>
            <w:r>
              <w:rPr>
                <w:rFonts w:ascii="仿宋_GB2312" w:hAnsi="仿宋_GB2312" w:cs="仿宋_GB2312" w:eastAsia="仿宋_GB2312"/>
                <w:sz w:val="28"/>
                <w:color w:val="000000"/>
              </w:rPr>
              <w:t>数据归集治理系统，</w:t>
            </w:r>
            <w:r>
              <w:rPr>
                <w:rFonts w:ascii="仿宋_GB2312" w:hAnsi="仿宋_GB2312" w:cs="仿宋_GB2312" w:eastAsia="仿宋_GB2312"/>
                <w:sz w:val="28"/>
                <w:color w:val="000000"/>
              </w:rPr>
              <w:t>通过完善信用信息共享清单，实现全市信用信息数据跨部门、跨行业、跨地区</w:t>
            </w:r>
            <w:r>
              <w:rPr>
                <w:rFonts w:ascii="仿宋_GB2312" w:hAnsi="仿宋_GB2312" w:cs="仿宋_GB2312" w:eastAsia="仿宋_GB2312"/>
                <w:sz w:val="28"/>
                <w:color w:val="000000"/>
              </w:rPr>
              <w:t>、</w:t>
            </w:r>
            <w:r>
              <w:rPr>
                <w:rFonts w:ascii="仿宋_GB2312" w:hAnsi="仿宋_GB2312" w:cs="仿宋_GB2312" w:eastAsia="仿宋_GB2312"/>
                <w:sz w:val="28"/>
                <w:color w:val="000000"/>
              </w:rPr>
              <w:t>政银企交换共享。</w:t>
            </w:r>
          </w:p>
          <w:p>
            <w:pPr>
              <w:pStyle w:val="null3"/>
              <w:ind w:firstLine="560"/>
            </w:pPr>
            <w:r>
              <w:rPr>
                <w:rFonts w:ascii="仿宋_GB2312" w:hAnsi="仿宋_GB2312" w:cs="仿宋_GB2312" w:eastAsia="仿宋_GB2312"/>
                <w:sz w:val="28"/>
                <w:color w:val="000000"/>
              </w:rPr>
              <w:t>4.信用评价系统，</w:t>
            </w:r>
            <w:r>
              <w:rPr>
                <w:rFonts w:ascii="仿宋_GB2312" w:hAnsi="仿宋_GB2312" w:cs="仿宋_GB2312" w:eastAsia="仿宋_GB2312"/>
                <w:sz w:val="28"/>
                <w:color w:val="000000"/>
              </w:rPr>
              <w:t>建立中小企业信用评价报告，为用户提供下载、查询服务。帮助金融机构预测风险，降低风险；帮助企业更好的发展，促进企业融资；辅助政府构建金融领域智能化监管新模式。</w:t>
            </w:r>
          </w:p>
          <w:p>
            <w:pPr>
              <w:pStyle w:val="null3"/>
              <w:ind w:firstLine="560"/>
            </w:pPr>
            <w:r>
              <w:rPr>
                <w:rFonts w:ascii="仿宋_GB2312" w:hAnsi="仿宋_GB2312" w:cs="仿宋_GB2312" w:eastAsia="仿宋_GB2312"/>
                <w:sz w:val="28"/>
                <w:color w:val="000000"/>
              </w:rPr>
              <w:t>5.智能服务系统，</w:t>
            </w:r>
            <w:r>
              <w:rPr>
                <w:rFonts w:ascii="仿宋_GB2312" w:hAnsi="仿宋_GB2312" w:cs="仿宋_GB2312" w:eastAsia="仿宋_GB2312"/>
                <w:sz w:val="28"/>
                <w:color w:val="000000"/>
              </w:rPr>
              <w:t>构建智能风险体系，整合优质数据源，构建联合预授信模型，实现纯线上全流程放款和风险监测与预警等综合服务。通过灵活的模型配置及预警监测，提升用户整体风控能力，满足融资贷款、政府监管等多场景风控需求。</w:t>
            </w:r>
          </w:p>
          <w:p>
            <w:pPr>
              <w:pStyle w:val="null3"/>
              <w:ind w:firstLine="560"/>
              <w:jc w:val="left"/>
            </w:pPr>
            <w:r>
              <w:rPr>
                <w:rFonts w:ascii="仿宋_GB2312" w:hAnsi="仿宋_GB2312" w:cs="仿宋_GB2312" w:eastAsia="仿宋_GB2312"/>
                <w:sz w:val="28"/>
                <w:color w:val="000000"/>
              </w:rPr>
              <w:t>6.决策风控系统，风险监测与预警：对申贷企业进行实时风险监测和预警，给金融机构作为风险预警参考；决策治理：为政府决策提供经济运行分析、金融运行分析、营商环境优化等服务。</w:t>
            </w:r>
          </w:p>
          <w:p>
            <w:pPr>
              <w:pStyle w:val="null3"/>
              <w:ind w:firstLine="560"/>
              <w:jc w:val="left"/>
            </w:pPr>
            <w:r>
              <w:rPr>
                <w:rFonts w:ascii="仿宋_GB2312" w:hAnsi="仿宋_GB2312" w:cs="仿宋_GB2312" w:eastAsia="仿宋_GB2312"/>
                <w:sz w:val="28"/>
                <w:color w:val="000000"/>
              </w:rPr>
              <w:t>7.业务系统对接，业务系统对接，</w:t>
            </w:r>
            <w:r>
              <w:rPr>
                <w:rFonts w:ascii="仿宋_GB2312" w:hAnsi="仿宋_GB2312" w:cs="仿宋_GB2312" w:eastAsia="仿宋_GB2312"/>
                <w:sz w:val="28"/>
                <w:color w:val="000000"/>
              </w:rPr>
              <w:t>建立与省级节点和</w:t>
            </w:r>
            <w:r>
              <w:rPr>
                <w:rFonts w:ascii="仿宋_GB2312" w:hAnsi="仿宋_GB2312" w:cs="仿宋_GB2312" w:eastAsia="仿宋_GB2312"/>
                <w:sz w:val="28"/>
                <w:color w:val="000000"/>
              </w:rPr>
              <w:t>市农业农村局、医保局、应急局、发改委、人社局、市场监管局、燃气公司等</w:t>
            </w:r>
            <w:r>
              <w:rPr>
                <w:rFonts w:ascii="仿宋_GB2312" w:hAnsi="仿宋_GB2312" w:cs="仿宋_GB2312" w:eastAsia="仿宋_GB2312"/>
                <w:sz w:val="28"/>
                <w:color w:val="000000"/>
              </w:rPr>
              <w:t>第三方机构的信用共享服务通道，从而实现与省级节点</w:t>
            </w:r>
            <w:r>
              <w:rPr>
                <w:rFonts w:ascii="仿宋_GB2312" w:hAnsi="仿宋_GB2312" w:cs="仿宋_GB2312" w:eastAsia="仿宋_GB2312"/>
                <w:sz w:val="28"/>
                <w:color w:val="000000"/>
              </w:rPr>
              <w:t>“秦信融”</w:t>
            </w:r>
            <w:r>
              <w:rPr>
                <w:rFonts w:ascii="仿宋_GB2312" w:hAnsi="仿宋_GB2312" w:cs="仿宋_GB2312" w:eastAsia="仿宋_GB2312"/>
                <w:sz w:val="28"/>
                <w:color w:val="000000"/>
              </w:rPr>
              <w:t>和第三方应用个性化接口定制。</w:t>
            </w:r>
          </w:p>
          <w:p>
            <w:pPr>
              <w:pStyle w:val="null3"/>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满足采购需求及服务合同内容</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满足采购需求及服务合同内容</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满足相关技术规范、服务合同及采购人要求。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按进度付款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完成合同约定的所有内容且验收合格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成交供应商未按合同要求履行，不符合招标技术要求，成交供应商必须无条件更换 人员或产品，提高技术，完善质量，否则，采购人有权终止合同，并对成交供应商的违约行为进行追究并依法向成交供应商进 行经济索赔。</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1、服务地点：采购人指定地点；2、服务期限：自合同签订之日起1年。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供应商是法人或其他 组织的应提供营业执 照等证明文件</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 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供应商提供具有财务审计资质单位出具的2023或2024年度财务报告或投标前六个月内其基本账 户银行出具的资信证明或政府采购信用担保机构出具的投标担保函；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供应商提供截止至投标时间前六个月内任意二个月的缴费凭据；（依法免税的供应商应提 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 明</w:t>
            </w:r>
          </w:p>
        </w:tc>
        <w:tc>
          <w:tcPr>
            <w:tcW w:type="dxa" w:w="3322"/>
          </w:tcPr>
          <w:p>
            <w:pPr>
              <w:pStyle w:val="null3"/>
            </w:pPr>
            <w:r>
              <w:rPr>
                <w:rFonts w:ascii="仿宋_GB2312" w:hAnsi="仿宋_GB2312" w:cs="仿宋_GB2312" w:eastAsia="仿宋_GB2312"/>
              </w:rPr>
              <w:t>供应商提供截止至投标时间前六个月内任意二个月的社保缴费凭据或社保机构开具的社会 保险参保缴费情况证明；（依法不需要交纳社会保障资金的供应商应提供相关证明）；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承诺、说明及书面声 明</w:t>
            </w:r>
          </w:p>
        </w:tc>
        <w:tc>
          <w:tcPr>
            <w:tcW w:type="dxa" w:w="3322"/>
          </w:tcPr>
          <w:p>
            <w:pPr>
              <w:pStyle w:val="null3"/>
            </w:pPr>
            <w:r>
              <w:rPr>
                <w:rFonts w:ascii="仿宋_GB2312" w:hAnsi="仿宋_GB2312" w:cs="仿宋_GB2312" w:eastAsia="仿宋_GB2312"/>
              </w:rPr>
              <w:t>1、提供具有履行本合同所必需的设备和专业技术能力的说明及承诺； 2、提供参加政府 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 法定代表人身份证明</w:t>
            </w:r>
          </w:p>
        </w:tc>
        <w:tc>
          <w:tcPr>
            <w:tcW w:type="dxa" w:w="3322"/>
          </w:tcPr>
          <w:p>
            <w:pPr>
              <w:pStyle w:val="null3"/>
            </w:pPr>
            <w:r>
              <w:rPr>
                <w:rFonts w:ascii="仿宋_GB2312" w:hAnsi="仿宋_GB2312" w:cs="仿宋_GB2312" w:eastAsia="仿宋_GB2312"/>
              </w:rPr>
              <w:t>法定代表人参与投标时需提供法定代表人身份证复印件；被授权人参与投标时需提供法定 代 表人授权委托书；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供应商不得为“信用中国(www.creditchina.gov.cn)”中列入失信被执行人名单的供应商 ，不得为“中国政府采购网(www.ccgp.gov.cn)”政府采购严重违法失信行为记录名单中 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投标文件上要求法定代表人或被授权人签字或盖章的，签字或盖章应齐全。</w:t>
            </w:r>
          </w:p>
        </w:tc>
        <w:tc>
          <w:tcPr>
            <w:tcW w:type="dxa" w:w="1661"/>
          </w:tcPr>
          <w:p>
            <w:pPr>
              <w:pStyle w:val="null3"/>
            </w:pPr>
            <w:r>
              <w:rPr>
                <w:rFonts w:ascii="仿宋_GB2312" w:hAnsi="仿宋_GB2312" w:cs="仿宋_GB2312" w:eastAsia="仿宋_GB2312"/>
              </w:rPr>
              <w:t>开标一览表 业绩.docx 服务内容及服务邀请应答表 中小企业声明函 项目人员组成表.docx 商务应答表 拒绝商业贿赂承诺书.docx 投标人应提交的相关资格证明材料 法定代表人授权书.docx 投标函 残疾人福利性单位声明函 服务方案 标的清单 法定代表人证明书.docx 其他资料.docx 投标文件封面 供应商情况表.docx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业绩.docx 服务内容及服务邀请应答表 中小企业声明函 项目人员组成表.docx 商务应答表 拒绝商业贿赂承诺书.docx 投标人应提交的相关资格证明材料 法定代表人授权书.docx 投标函 残疾人福利性单位声明函 服务方案 标的清单 法定代表人证明书.docx 其他资料.docx 投标文件封面 供应商情况表.docx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一、评审内容 针对本项目的需求理解，从项目实施背景、项目现状、建设依据、建设内容、资源需求、数据量分析等各方面对项目进行深入全面的分析剖析及详细的阐述。 二、评审标准 1、完整性：内容须全面透彻，对项目需求的各项要求有完整描述； 2、可实施性：切合本项目实际情况，实施步骤清晰、合理； 3、针对性：方案能够紧扣项目实际情况，内容科学合理。 三、赋分标准（满分18分） 对项目需求理解完整、合理的阐述计(12-18分]，供应商对项目工作需求的理解基本准确到位；满足采购人基本服务要求计(6-12分]；供应商对于本项目的理解较差，不能完全满足采购人实际需求计[0-6分]。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针对本项目提出总体方案，内容包括服务总体方案、信息系统总体架构。 二、评审标准 1、完整性：方案内容全面，对评审内容中的各项要求有详细描述； 2、可实施性：切合本项目实际情况，设计合理，方案内容步骤清晰； 3、针对性：方案能够紧扣项目实际情况，内容科学合理，重点突出。 三、赋分标准（满分6分） 方案合理科学，目的明确，执行标准、规范明确，充分满足磋商文件要求计(4-6分]；方案基本合理科学，目的基本明确，执行标准、规范基本明确，满足磋商文件要求的计(2-4分]；方案内容存在缺漏但不影响磋商响应文件有效性的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一、评审内容 针对本项目提供具体的技术服务方案，内容包括建设数字金融服务门户网站、数字金融服务系统、数据归集治理系统、信用评价系统、智能服务系统、决策风控系统、业务系统对接等。 二、评审标准 1、完整性：方案须全面，对评审内容中的各项要求有详细描述； 2、可实施性：切合本项目实际情况，实施步骤清晰、合理； 3、针对性：方案能够紧扣项目实际情况，内容科学合理。 三、赋分标准(满分25分） 技术服务方案合理科学，目的明确，执行标准、规范明确，充分满足磋商文件要求计(15-25分]；技术服务方案基本合理科学，目的基本明确，执行标准、规范基本明确，满足磋商文件要求的计(6-15分]；技术服务方案内容存在缺漏但不影响磋商响应文件有效性的计[0-6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实施管理方案</w:t>
            </w:r>
          </w:p>
        </w:tc>
        <w:tc>
          <w:tcPr>
            <w:tcW w:type="dxa" w:w="2492"/>
          </w:tcPr>
          <w:p>
            <w:pPr>
              <w:pStyle w:val="null3"/>
            </w:pPr>
            <w:r>
              <w:rPr>
                <w:rFonts w:ascii="仿宋_GB2312" w:hAnsi="仿宋_GB2312" w:cs="仿宋_GB2312" w:eastAsia="仿宋_GB2312"/>
              </w:rPr>
              <w:t>一、评审内容 针对本项目，结合陕西省政务信息化项目管理要求，提出实施管理方案。内容包括人员管理、 计划管理、 沟通协调管理、风险管理、文档管理。 二、评审标准 1、完整性：方案必须全面，对评审内容中的各项要求有详细描述； 2、可实施性：切合本项目实际情况，提出步骤清晰、合理的方案； 3、针对性：方案能够紧扣项目实际情况，内容科学合理。 三、赋分标准（满分6分） 实施管理方案合理科学，目的明确，执行标准、规范明确，充分满足磋商文件要求计(4-6分]；实施管理方案基本合理科学，目的基本明确，执行标准、规范基本明确，满足磋商文件要求的计(2-4分]；实施管理方案内容存在缺漏但不影响磋商响应文件有效性的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保密要求</w:t>
            </w:r>
          </w:p>
        </w:tc>
        <w:tc>
          <w:tcPr>
            <w:tcW w:type="dxa" w:w="2492"/>
          </w:tcPr>
          <w:p>
            <w:pPr>
              <w:pStyle w:val="null3"/>
            </w:pPr>
            <w:r>
              <w:rPr>
                <w:rFonts w:ascii="仿宋_GB2312" w:hAnsi="仿宋_GB2312" w:cs="仿宋_GB2312" w:eastAsia="仿宋_GB2312"/>
              </w:rPr>
              <w:t>一、评审内容 针对本项目制定专项保密制度，制度内容包含日常保密管理制度、人员管理保密制度。 二、评审标准 1、完整性：方案须全面，对评审内容中的各项要求有详细描述及说明； 2、可实施性：切合本项目实际情况，步骤清晰、合理，操作性强； 3、针对性：方案能够紧扣项目实际情况，内容科学合理。 三、赋分标准（满分4分） 保密制度能充分满足磋商文件要求计(2-4分]；保密制度基本满足磋商文件要求的计(1-2分]；保密制度内容存在缺漏但不影响磋商响应文件要求的计[0-1分]。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 作重 点 、 难 点 分 析 及 合 理 化 建 议</w:t>
            </w:r>
          </w:p>
        </w:tc>
        <w:tc>
          <w:tcPr>
            <w:tcW w:type="dxa" w:w="2492"/>
          </w:tcPr>
          <w:p>
            <w:pPr>
              <w:pStyle w:val="null3"/>
            </w:pPr>
            <w:r>
              <w:rPr>
                <w:rFonts w:ascii="仿宋_GB2312" w:hAnsi="仿宋_GB2312" w:cs="仿宋_GB2312" w:eastAsia="仿宋_GB2312"/>
              </w:rPr>
              <w:t>一、评审内容 根据供应商提供的针对本项目的合理化建议进行评审，对项目实施过程中的关键性工作 ，重点、难点工作等可能影响项目实施进度的情况提出的合理化建议及解决方案，按其 响应程度横向比较。对关键性工作，重点、难点工作认识清晰准确、提出的合理化建议 及解决方案内容完善、详细，可行性高的计(5-8 分]；对关键性工作，重点、难点工作 认识准确、提出的合理化建议及解决方案内容基本完整、可行的计(2-5 分]； 对关键性 工作，重点、难点工作认识不清、提出的合理化建议及解决方案内容存在缺漏的计[0-2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 务 期 内 的 质 量 保 证 措 施</w:t>
            </w:r>
          </w:p>
        </w:tc>
        <w:tc>
          <w:tcPr>
            <w:tcW w:type="dxa" w:w="2492"/>
          </w:tcPr>
          <w:p>
            <w:pPr>
              <w:pStyle w:val="null3"/>
            </w:pPr>
            <w:r>
              <w:rPr>
                <w:rFonts w:ascii="仿宋_GB2312" w:hAnsi="仿宋_GB2312" w:cs="仿宋_GB2312" w:eastAsia="仿宋_GB2312"/>
              </w:rPr>
              <w:t>一、评审内容 根据供应商对本项目质量保证措施方案的响应程度横向比较打分。有具体可行的质 量保证措施，方案具体、完整、可操作性强计(7-10 分]；方案较完整，质量保证措施内 容明确，可基本保证质量保证需求计(3-7 分]；方案有明显缺漏项，不能完全保证服务 期内质量保证需求，可操作性较差计[0-3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组织机构设置和岗位 职责</w:t>
            </w:r>
          </w:p>
        </w:tc>
        <w:tc>
          <w:tcPr>
            <w:tcW w:type="dxa" w:w="2492"/>
          </w:tcPr>
          <w:p>
            <w:pPr>
              <w:pStyle w:val="null3"/>
            </w:pPr>
            <w:r>
              <w:rPr>
                <w:rFonts w:ascii="仿宋_GB2312" w:hAnsi="仿宋_GB2312" w:cs="仿宋_GB2312" w:eastAsia="仿宋_GB2312"/>
              </w:rPr>
              <w:t>根据供应商提供的企业管理组织架构、人员分工和工作职责划分、业务管理流程进行横向比较，综合赋分。有具体成员名单，包括姓名、执业资格证书、工作经验、工作职责、联系方式等）企业组织架构完善、人员分工和工作职责划分明确、业务管理流程详尽、完整的计(4- 8 分]；企业组织架构清晰、人员分工和工作职责划分比较明确、业务管理流程基本完整的计(2-4 分]；企业组织架构、人员分工和工作职责划分、业务管理流程存在缺漏的计[0-2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项目人员组成表.docx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供应商需提供 2022 年1 月至今类似业绩，投标文件中附有其业绩证明材料，业绩以合同文件为依据（复印件加盖公章），每提供一份计2.5 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 足招标文件要求且投标报价最低的 投标报价为评标基准价，其价格分 为满分。其他投标单位的价格分统 一按照下列公式计算：投标报价= （评标基准价/投标报价）×价格权 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详见附件：供应商情况表.docx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详见附件：项目人员组成表.docx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