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版本号：ZXCG2025-01020250418001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《铜川市“十五五”生态环境保护规划》编制项目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ZXCG2025-010</w:t>
      </w:r>
      <w:r>
        <w:br/>
      </w:r>
      <w:r>
        <w:br/>
      </w:r>
      <w:r>
        <w:br/>
      </w:r>
    </w:p>
    <w:p>
      <w:pPr>
        <w:pStyle w:val="null3"/>
        <w:jc w:val="center"/>
        <w:outlineLvl w:val="2"/>
      </w:pPr>
      <w:r>
        <w:rPr>
          <w:rFonts w:ascii="仿宋_GB2312" w:hAnsi="仿宋_GB2312" w:cs="仿宋_GB2312" w:eastAsia="仿宋_GB2312"/>
          <w:sz w:val="28"/>
          <w:b/>
        </w:rPr>
        <w:t>铜川市生态环境局</w:t>
      </w:r>
    </w:p>
    <w:p>
      <w:pPr>
        <w:pStyle w:val="null3"/>
        <w:jc w:val="center"/>
        <w:outlineLvl w:val="2"/>
      </w:pPr>
      <w:r>
        <w:rPr>
          <w:rFonts w:ascii="仿宋_GB2312" w:hAnsi="仿宋_GB2312" w:cs="仿宋_GB2312" w:eastAsia="仿宋_GB2312"/>
          <w:sz w:val="28"/>
          <w:b/>
        </w:rPr>
        <w:t>陕西中贤项目管理有限公司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陕西中贤项目管理有限公司</w:t>
      </w:r>
      <w:r>
        <w:rPr>
          <w:rFonts w:ascii="仿宋_GB2312" w:hAnsi="仿宋_GB2312" w:cs="仿宋_GB2312" w:eastAsia="仿宋_GB2312"/>
        </w:rPr>
        <w:t>（以下简称“代理机构”）受</w:t>
      </w:r>
      <w:r>
        <w:rPr>
          <w:rFonts w:ascii="仿宋_GB2312" w:hAnsi="仿宋_GB2312" w:cs="仿宋_GB2312" w:eastAsia="仿宋_GB2312"/>
        </w:rPr>
        <w:t>铜川市生态环境局</w:t>
      </w:r>
      <w:r>
        <w:rPr>
          <w:rFonts w:ascii="仿宋_GB2312" w:hAnsi="仿宋_GB2312" w:cs="仿宋_GB2312" w:eastAsia="仿宋_GB2312"/>
        </w:rPr>
        <w:t>委托，拟对</w:t>
      </w:r>
      <w:r>
        <w:rPr>
          <w:rFonts w:ascii="仿宋_GB2312" w:hAnsi="仿宋_GB2312" w:cs="仿宋_GB2312" w:eastAsia="仿宋_GB2312"/>
        </w:rPr>
        <w:t>《铜川市“十五五”生态环境保护规划》编制项目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ZXCG2025-010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《铜川市“十五五”生态环境保护规划》编制项目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编制《铜川市“十五五”生态环境保护规划》；主要为了加强生态环境保护，服务全市经济社会高质量绿色发展。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采购包1（铜川市“十五五”生态环境保护规划》编制项目）：属于专门面向中小企业采购。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1、营业执照等主体资格证明文件：具有独立承担民事责任的能力，提供法人或者其他组织的营业执照等证明文件，自然人参与的提供其身份证明</w:t>
      </w:r>
    </w:p>
    <w:p>
      <w:pPr>
        <w:pStyle w:val="null3"/>
      </w:pPr>
      <w:r>
        <w:rPr>
          <w:rFonts w:ascii="仿宋_GB2312" w:hAnsi="仿宋_GB2312" w:cs="仿宋_GB2312" w:eastAsia="仿宋_GB2312"/>
        </w:rPr>
        <w:t>2、财务状况报告：提供2023年度经审计的财务会计报告（包括审计报告、资产负债表、利润表、现金流量表、所有者权益变动表及其附注，成立时间至提交响应文件截止时间不足一年的可提供成立后任意时段的资产负债表），或其磋商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3、税收缴纳证明：提供开标前近六个月内已缴纳任意一个月完税凭证或税务机关开具的完税证明（任意税种）；依法免税的应提供相关文件证明</w:t>
      </w:r>
    </w:p>
    <w:p>
      <w:pPr>
        <w:pStyle w:val="null3"/>
      </w:pPr>
      <w:r>
        <w:rPr>
          <w:rFonts w:ascii="仿宋_GB2312" w:hAnsi="仿宋_GB2312" w:cs="仿宋_GB2312" w:eastAsia="仿宋_GB2312"/>
        </w:rPr>
        <w:t>4、社会保障资金缴纳证明：提供开标前近六个月内已缴存的任意一个月的社会保障资金缴存证明或社保机构开具的社会保险参保缴费情况证明；依法不需要缴纳社会保障资金的应提供相关文件证明</w:t>
      </w:r>
    </w:p>
    <w:p>
      <w:pPr>
        <w:pStyle w:val="null3"/>
      </w:pPr>
      <w:r>
        <w:rPr>
          <w:rFonts w:ascii="仿宋_GB2312" w:hAnsi="仿宋_GB2312" w:cs="仿宋_GB2312" w:eastAsia="仿宋_GB2312"/>
        </w:rPr>
        <w:t>5、信用中国：供应商不得为“信用中国” 网站（www.creditchina.gov.cn）中列入失信被执行人或重大税收违法失信主体的供应商，不得为中国政府采购网（www.ccgp.gov.cn） 政府采购严重违法失信行为记录名单中被财政部门禁止参加政府采购活动的供应商</w:t>
      </w:r>
    </w:p>
    <w:p>
      <w:pPr>
        <w:pStyle w:val="null3"/>
      </w:pPr>
      <w:r>
        <w:rPr>
          <w:rFonts w:ascii="仿宋_GB2312" w:hAnsi="仿宋_GB2312" w:cs="仿宋_GB2312" w:eastAsia="仿宋_GB2312"/>
        </w:rPr>
        <w:t>6、履约能力：提供具备履行合同所必需的设备和专业技术能力的说明及承诺（提供书面承诺函）</w:t>
      </w:r>
    </w:p>
    <w:p>
      <w:pPr>
        <w:pStyle w:val="null3"/>
      </w:pPr>
      <w:r>
        <w:rPr>
          <w:rFonts w:ascii="仿宋_GB2312" w:hAnsi="仿宋_GB2312" w:cs="仿宋_GB2312" w:eastAsia="仿宋_GB2312"/>
        </w:rPr>
        <w:t>7、无重大违法记录：参加政府采购活动前3年内，在经营活动中没有重大违法记录（提供书面声明函）</w:t>
      </w:r>
    </w:p>
    <w:p>
      <w:pPr>
        <w:pStyle w:val="null3"/>
      </w:pPr>
      <w:r>
        <w:rPr>
          <w:rFonts w:ascii="仿宋_GB2312" w:hAnsi="仿宋_GB2312" w:cs="仿宋_GB2312" w:eastAsia="仿宋_GB2312"/>
        </w:rPr>
        <w:t>8、法定代表人身份证明或法定代表人授权委托书：法定代表人授权书（附法定代表人及被授权人 身份证复印件） 及被授权人身份证（如法定代表人直接投标须提交法定代表人身份证及法人身份证明）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铜川市生态环境局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铜川市新区齐庆路4号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0919-3185733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陕西中贤项目管理有限公司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陕西省西安市碑林区长安北路8号陕西高速大厦12层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曹渊宁、李敏佳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029-89352919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标准下浮 5% 计取。招标代理服务费交纳信息：银行户名：陕西中贤项目管理有限公司 开户银行：中国银行股份有限公司陕西省分行 账 号：102 068 446 330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铜川市生态环境局</w:t>
      </w:r>
      <w:r>
        <w:rPr>
          <w:rFonts w:ascii="仿宋_GB2312" w:hAnsi="仿宋_GB2312" w:cs="仿宋_GB2312" w:eastAsia="仿宋_GB2312"/>
        </w:rPr>
        <w:t>和</w:t>
      </w:r>
      <w:r>
        <w:rPr>
          <w:rFonts w:ascii="仿宋_GB2312" w:hAnsi="仿宋_GB2312" w:cs="仿宋_GB2312" w:eastAsia="仿宋_GB2312"/>
        </w:rPr>
        <w:t>陕西中贤项目管理有限公司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铜川市生态环境局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陕西中贤项目管理有限公司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铜川市生态环境局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陕西中贤项目管理有限公司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满足采购人要求，确保本项目验收通过。</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陕西中贤项目管理有限公司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陕西中贤项目管理有限公司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陕西中贤项目管理有限公司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联系人：曹渊宁、李敏佳</w:t>
      </w:r>
    </w:p>
    <w:p>
      <w:pPr>
        <w:pStyle w:val="null3"/>
      </w:pPr>
      <w:r>
        <w:rPr>
          <w:rFonts w:ascii="仿宋_GB2312" w:hAnsi="仿宋_GB2312" w:cs="仿宋_GB2312" w:eastAsia="仿宋_GB2312"/>
        </w:rPr>
        <w:t>联系电话：029-89352919</w:t>
      </w:r>
    </w:p>
    <w:p>
      <w:pPr>
        <w:pStyle w:val="null3"/>
      </w:pPr>
      <w:r>
        <w:rPr>
          <w:rFonts w:ascii="仿宋_GB2312" w:hAnsi="仿宋_GB2312" w:cs="仿宋_GB2312" w:eastAsia="仿宋_GB2312"/>
        </w:rPr>
        <w:t>地址：陕西省西安市碑林区长安北路8号陕西高速大厦12层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编制《铜川市“十五五”生态环境保护规划》；主要为了加强生态环境保护，服务全市经济社会高质量绿色发展。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1,600,000.00</w:t>
      </w:r>
    </w:p>
    <w:p>
      <w:pPr>
        <w:pStyle w:val="null3"/>
      </w:pPr>
      <w:r>
        <w:rPr>
          <w:rFonts w:ascii="仿宋_GB2312" w:hAnsi="仿宋_GB2312" w:cs="仿宋_GB2312" w:eastAsia="仿宋_GB2312"/>
        </w:rPr>
        <w:t>采购包最高限价（元）: 1,600,000.00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《铜川市“十五五”生态环境保护规划》编制项目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标的名称：《铜川市“十五五”生态环境保护规划》编制项目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b/>
                <w:color w:val="333333"/>
                <w:shd w:fill="FFFFFF" w:val="clear"/>
              </w:rPr>
              <w:t>一、</w:t>
            </w:r>
            <w:r>
              <w:rPr>
                <w:rFonts w:ascii="仿宋_GB2312" w:hAnsi="仿宋_GB2312" w:cs="仿宋_GB2312" w:eastAsia="仿宋_GB2312"/>
                <w:b/>
                <w:color w:val="333333"/>
                <w:shd w:fill="FFFFFF" w:val="clear"/>
              </w:rPr>
              <w:t>项目概况</w:t>
            </w:r>
          </w:p>
          <w:p>
            <w:pPr>
              <w:pStyle w:val="null3"/>
              <w:ind w:firstLine="480"/>
              <w:jc w:val="both"/>
            </w:pPr>
            <w:r>
              <w:rPr>
                <w:rFonts w:ascii="仿宋_GB2312" w:hAnsi="仿宋_GB2312" w:cs="仿宋_GB2312" w:eastAsia="仿宋_GB2312"/>
                <w:color w:val="333333"/>
                <w:shd w:fill="FFFFFF" w:val="clear"/>
              </w:rPr>
              <w:t>编制《铜川市“十五五”生态环境保护规划》；主要为了加强生态环境保护，服务全市经济社会高质量绿色发展。</w:t>
            </w:r>
          </w:p>
          <w:p>
            <w:pPr>
              <w:pStyle w:val="null3"/>
              <w:jc w:val="both"/>
            </w:pPr>
            <w:r>
              <w:rPr>
                <w:rFonts w:ascii="仿宋_GB2312" w:hAnsi="仿宋_GB2312" w:cs="仿宋_GB2312" w:eastAsia="仿宋_GB2312"/>
                <w:b/>
                <w:color w:val="333333"/>
                <w:shd w:fill="FFFFFF" w:val="clear"/>
              </w:rPr>
              <w:t>二、</w:t>
            </w:r>
            <w:r>
              <w:rPr>
                <w:rFonts w:ascii="仿宋_GB2312" w:hAnsi="仿宋_GB2312" w:cs="仿宋_GB2312" w:eastAsia="仿宋_GB2312"/>
                <w:b/>
                <w:color w:val="333333"/>
                <w:shd w:fill="FFFFFF" w:val="clear"/>
              </w:rPr>
              <w:t>工作内容</w:t>
            </w:r>
          </w:p>
          <w:p>
            <w:pPr>
              <w:pStyle w:val="null3"/>
              <w:ind w:firstLine="480"/>
              <w:jc w:val="both"/>
            </w:pPr>
            <w:r>
              <w:rPr>
                <w:rFonts w:ascii="仿宋_GB2312" w:hAnsi="仿宋_GB2312" w:cs="仿宋_GB2312" w:eastAsia="仿宋_GB2312"/>
                <w:color w:val="333333"/>
                <w:shd w:fill="FFFFFF" w:val="clear"/>
              </w:rPr>
              <w:t>（一）</w:t>
            </w:r>
            <w:r>
              <w:rPr>
                <w:rFonts w:ascii="仿宋_GB2312" w:hAnsi="仿宋_GB2312" w:cs="仿宋_GB2312" w:eastAsia="仿宋_GB2312"/>
                <w:color w:val="333333"/>
                <w:shd w:fill="FFFFFF" w:val="clear"/>
              </w:rPr>
              <w:t>前期研究阶段。组织开展铜川市“十四五”时期生态环境保护规划情况和存在的主要问题及面临形势全面分析。研究铜川市“十五五”时期生态环境保护规划、经济社会发展基础和形势变化，梳理发展的有利条件、制约因素以及亟待解决的重大问题，剖析深层次矛盾，研判“十五五”时期铜川市发展所处阶段、主要特征及其突出表现，系统提出铜川市“十五五”时期生态环境保护规划、经济社会发展战略、主题主线、主要目标、重点任务和对策措施，以及纳入国家、省、市“十五五”规划的重大战略任务、重大改革举措、重大工程项目等。结合前期研究和调研成果，形成《铜川市“十五五”生态环境保护规划》编制起草框架。</w:t>
            </w:r>
          </w:p>
          <w:p>
            <w:pPr>
              <w:pStyle w:val="null3"/>
              <w:ind w:firstLine="480"/>
              <w:jc w:val="both"/>
            </w:pPr>
            <w:r>
              <w:rPr>
                <w:rFonts w:ascii="仿宋_GB2312" w:hAnsi="仿宋_GB2312" w:cs="仿宋_GB2312" w:eastAsia="仿宋_GB2312"/>
                <w:color w:val="333333"/>
                <w:shd w:fill="FFFFFF" w:val="clear"/>
              </w:rPr>
              <w:t>（二）</w:t>
            </w:r>
            <w:r>
              <w:rPr>
                <w:rFonts w:ascii="仿宋_GB2312" w:hAnsi="仿宋_GB2312" w:cs="仿宋_GB2312" w:eastAsia="仿宋_GB2312"/>
                <w:color w:val="333333"/>
                <w:shd w:fill="FFFFFF" w:val="clear"/>
              </w:rPr>
              <w:t>起草阶段。根据国家、省、市关于“十五五”规划的总体要求，结合《铜川市“十五五”生态环境保护规划》编制的前期研究，结合中央、省相关精神与铜川市情况特点，紧跟铜川市委、市政府的战略部署，会同铜川市有关单位深入研判发展环境、发展趋势，测算“十五五”时期全市生态环境保护规划、经济社会发展主要目标、重要指标，组织开展重大战略任务、重大改革举措、重大工程项目等专题研究，起草形成《铜川市“十五五”生态环境保护规划》初稿。</w:t>
            </w:r>
          </w:p>
          <w:p>
            <w:pPr>
              <w:pStyle w:val="null3"/>
              <w:ind w:firstLine="480"/>
              <w:jc w:val="both"/>
            </w:pPr>
            <w:r>
              <w:rPr>
                <w:rFonts w:ascii="仿宋_GB2312" w:hAnsi="仿宋_GB2312" w:cs="仿宋_GB2312" w:eastAsia="仿宋_GB2312"/>
                <w:color w:val="333333"/>
                <w:shd w:fill="FFFFFF" w:val="clear"/>
              </w:rPr>
              <w:t>（三）</w:t>
            </w:r>
            <w:r>
              <w:rPr>
                <w:rFonts w:ascii="仿宋_GB2312" w:hAnsi="仿宋_GB2312" w:cs="仿宋_GB2312" w:eastAsia="仿宋_GB2312"/>
                <w:color w:val="333333"/>
                <w:shd w:fill="FFFFFF" w:val="clear"/>
              </w:rPr>
              <w:t>论证审批阶段。起草《铜川市“十五五”生态环境保护规划》编制后，广泛征求铜川市人大和政协有关委员会以及人大代表、政协委员、铜川市有关各部门、各区、社会公众等各方面的意见，于2025年底报铜川市委、市政府审。</w:t>
            </w:r>
          </w:p>
          <w:p>
            <w:pPr>
              <w:pStyle w:val="null3"/>
              <w:ind w:firstLine="480"/>
              <w:jc w:val="both"/>
            </w:pPr>
            <w:r>
              <w:rPr>
                <w:rFonts w:ascii="仿宋_GB2312" w:hAnsi="仿宋_GB2312" w:cs="仿宋_GB2312" w:eastAsia="仿宋_GB2312"/>
                <w:color w:val="333333"/>
                <w:shd w:fill="FFFFFF" w:val="clear"/>
              </w:rPr>
              <w:t>（四）</w:t>
            </w:r>
            <w:r>
              <w:rPr>
                <w:rFonts w:ascii="仿宋_GB2312" w:hAnsi="仿宋_GB2312" w:cs="仿宋_GB2312" w:eastAsia="仿宋_GB2312"/>
                <w:color w:val="333333"/>
                <w:shd w:fill="FFFFFF" w:val="clear"/>
              </w:rPr>
              <w:t>最终成果提交阶段。汇总各方意见，形成《铜川市“十五五”生态环境保护规划》终稿。</w:t>
            </w:r>
          </w:p>
          <w:p>
            <w:pPr>
              <w:pStyle w:val="null3"/>
              <w:ind w:firstLine="480"/>
              <w:jc w:val="both"/>
            </w:pPr>
            <w:r>
              <w:rPr>
                <w:rFonts w:ascii="仿宋_GB2312" w:hAnsi="仿宋_GB2312" w:cs="仿宋_GB2312" w:eastAsia="仿宋_GB2312"/>
                <w:color w:val="333333"/>
                <w:shd w:fill="FFFFFF" w:val="clear"/>
              </w:rPr>
              <w:t>（五）</w:t>
            </w:r>
            <w:r>
              <w:rPr>
                <w:rFonts w:ascii="仿宋_GB2312" w:hAnsi="仿宋_GB2312" w:cs="仿宋_GB2312" w:eastAsia="仿宋_GB2312"/>
                <w:color w:val="333333"/>
                <w:shd w:fill="FFFFFF" w:val="clear"/>
              </w:rPr>
              <w:t>后续跟进阶段。规划编制完成后，根据实施效果和外部环境变化，必要时需按照铜川市委、市政府的要求和部署，对规划进行调整和优化，确保规划的顺利实施。（本部分工作内容视实际情况执行，成交供应商不得推诿，并需保质保量按时完成，以达到采购人要求。）</w:t>
            </w:r>
          </w:p>
          <w:p>
            <w:pPr>
              <w:pStyle w:val="null3"/>
              <w:ind w:firstLine="480"/>
              <w:jc w:val="both"/>
            </w:pPr>
            <w:r>
              <w:rPr>
                <w:rFonts w:ascii="仿宋_GB2312" w:hAnsi="仿宋_GB2312" w:cs="仿宋_GB2312" w:eastAsia="仿宋_GB2312"/>
                <w:color w:val="333333"/>
                <w:shd w:fill="FFFFFF" w:val="clear"/>
              </w:rPr>
              <w:t>（六）</w:t>
            </w:r>
            <w:r>
              <w:rPr>
                <w:rFonts w:ascii="仿宋_GB2312" w:hAnsi="仿宋_GB2312" w:cs="仿宋_GB2312" w:eastAsia="仿宋_GB2312"/>
                <w:color w:val="333333"/>
                <w:shd w:fill="FFFFFF" w:val="clear"/>
              </w:rPr>
              <w:t>成交供应商需配合采购人组织、举办本项目各工作阶段的汇报、审查、研讨、公开展示及公众咨询等工作，并负责解答相关的问题。</w:t>
            </w:r>
          </w:p>
          <w:p>
            <w:pPr>
              <w:pStyle w:val="null3"/>
              <w:jc w:val="both"/>
            </w:pPr>
            <w:r>
              <w:rPr>
                <w:rFonts w:ascii="仿宋_GB2312" w:hAnsi="仿宋_GB2312" w:cs="仿宋_GB2312" w:eastAsia="仿宋_GB2312"/>
                <w:b/>
                <w:color w:val="333333"/>
                <w:shd w:fill="FFFFFF" w:val="clear"/>
              </w:rPr>
              <w:t>三、</w:t>
            </w:r>
            <w:r>
              <w:rPr>
                <w:rFonts w:ascii="仿宋_GB2312" w:hAnsi="仿宋_GB2312" w:cs="仿宋_GB2312" w:eastAsia="仿宋_GB2312"/>
                <w:b/>
                <w:color w:val="333333"/>
                <w:shd w:fill="FFFFFF" w:val="clear"/>
              </w:rPr>
              <w:t>工作进度及成果要求</w:t>
            </w:r>
          </w:p>
          <w:p>
            <w:pPr>
              <w:pStyle w:val="null3"/>
              <w:ind w:firstLine="480"/>
              <w:jc w:val="both"/>
            </w:pPr>
            <w:r>
              <w:rPr>
                <w:rFonts w:ascii="仿宋_GB2312" w:hAnsi="仿宋_GB2312" w:cs="仿宋_GB2312" w:eastAsia="仿宋_GB2312"/>
                <w:color w:val="333333"/>
                <w:shd w:fill="FFFFFF" w:val="clear"/>
              </w:rPr>
              <w:t>（一）2025年6月底前，形成《铜川市“十五五”生态环境保护规划》起草框架。</w:t>
            </w:r>
          </w:p>
          <w:p>
            <w:pPr>
              <w:pStyle w:val="null3"/>
              <w:ind w:firstLine="480"/>
              <w:jc w:val="both"/>
            </w:pPr>
            <w:r>
              <w:rPr>
                <w:rFonts w:ascii="仿宋_GB2312" w:hAnsi="仿宋_GB2312" w:cs="仿宋_GB2312" w:eastAsia="仿宋_GB2312"/>
                <w:color w:val="333333"/>
                <w:shd w:fill="FFFFFF" w:val="clear"/>
              </w:rPr>
              <w:t>（二）2025年9月底前，完成《铜川市“十五五”生态环境保护规划》初稿，并提交一式拾份纸质成果文件、一式一份电子版（光盘介质）成果文件交付给采购人。</w:t>
            </w:r>
          </w:p>
          <w:p>
            <w:pPr>
              <w:pStyle w:val="null3"/>
              <w:ind w:firstLine="480"/>
              <w:jc w:val="both"/>
            </w:pPr>
            <w:r>
              <w:rPr>
                <w:rFonts w:ascii="仿宋_GB2312" w:hAnsi="仿宋_GB2312" w:cs="仿宋_GB2312" w:eastAsia="仿宋_GB2312"/>
                <w:color w:val="333333"/>
                <w:shd w:fill="FFFFFF" w:val="clear"/>
              </w:rPr>
              <w:t>（三）2025年12月底前，编制完成《铜川市“十五五”生态环境保护规划》（送审稿），并提交一式拾份纸质成果文件、一式一份电子版（光盘介质）成果文件交付给采购人。</w:t>
            </w:r>
          </w:p>
          <w:p>
            <w:pPr>
              <w:pStyle w:val="null3"/>
              <w:ind w:firstLine="480"/>
              <w:jc w:val="both"/>
            </w:pPr>
            <w:r>
              <w:rPr>
                <w:rFonts w:ascii="仿宋_GB2312" w:hAnsi="仿宋_GB2312" w:cs="仿宋_GB2312" w:eastAsia="仿宋_GB2312"/>
                <w:color w:val="333333"/>
                <w:shd w:fill="FFFFFF" w:val="clear"/>
              </w:rPr>
              <w:t>（四）2026年1月底前，完成专家评审（专家评审专家包含在本次采购预算内，由成交供应商承担）、验收等工作，形成《铜川市“十五五”生态环境保护规划》终稿，并提交一式拾份纸质成果文件、一式一份电子版（光盘介质）成果文件交付给采购人。</w:t>
            </w:r>
          </w:p>
          <w:p>
            <w:pPr>
              <w:pStyle w:val="null3"/>
              <w:ind w:firstLine="480"/>
              <w:jc w:val="both"/>
            </w:pPr>
            <w:r>
              <w:rPr>
                <w:rFonts w:ascii="仿宋_GB2312" w:hAnsi="仿宋_GB2312" w:cs="仿宋_GB2312" w:eastAsia="仿宋_GB2312"/>
                <w:color w:val="333333"/>
                <w:shd w:fill="FFFFFF" w:val="clear"/>
              </w:rPr>
              <w:t>（五）</w:t>
            </w:r>
            <w:r>
              <w:rPr>
                <w:rFonts w:ascii="仿宋_GB2312" w:hAnsi="仿宋_GB2312" w:cs="仿宋_GB2312" w:eastAsia="仿宋_GB2312"/>
                <w:color w:val="333333"/>
                <w:shd w:fill="FFFFFF" w:val="clear"/>
              </w:rPr>
              <w:t>《铜川市“十五五”生态环境保护规划》编制以市政府名义印发实施后，成交供应商须向采购人交付成果印刷书籍。</w:t>
            </w:r>
          </w:p>
          <w:p>
            <w:pPr>
              <w:pStyle w:val="null3"/>
              <w:jc w:val="both"/>
            </w:pPr>
            <w:r>
              <w:rPr>
                <w:rFonts w:ascii="仿宋_GB2312" w:hAnsi="仿宋_GB2312" w:cs="仿宋_GB2312" w:eastAsia="仿宋_GB2312"/>
                <w:b/>
              </w:rPr>
              <w:t>四、</w:t>
            </w:r>
            <w:r>
              <w:rPr>
                <w:rFonts w:ascii="仿宋_GB2312" w:hAnsi="仿宋_GB2312" w:cs="仿宋_GB2312" w:eastAsia="仿宋_GB2312"/>
                <w:b/>
              </w:rPr>
              <w:t>服务要求</w:t>
            </w:r>
          </w:p>
          <w:p>
            <w:pPr>
              <w:pStyle w:val="null3"/>
              <w:ind w:left="600"/>
              <w:jc w:val="both"/>
            </w:pPr>
            <w:r>
              <w:rPr>
                <w:rFonts w:ascii="仿宋_GB2312" w:hAnsi="仿宋_GB2312" w:cs="仿宋_GB2312" w:eastAsia="仿宋_GB2312"/>
              </w:rPr>
              <w:t>1、</w:t>
            </w:r>
            <w:r>
              <w:rPr>
                <w:rFonts w:ascii="仿宋_GB2312" w:hAnsi="仿宋_GB2312" w:cs="仿宋_GB2312" w:eastAsia="仿宋_GB2312"/>
              </w:rPr>
              <w:t>合同履行期限：自合同签订之日起至成交供应商按要求履行服务并通过采购人确认最终成果。</w:t>
            </w:r>
          </w:p>
          <w:p>
            <w:pPr>
              <w:pStyle w:val="null3"/>
              <w:ind w:left="600"/>
              <w:jc w:val="both"/>
            </w:pPr>
            <w:r>
              <w:rPr>
                <w:rFonts w:ascii="仿宋_GB2312" w:hAnsi="仿宋_GB2312" w:cs="仿宋_GB2312" w:eastAsia="仿宋_GB2312"/>
              </w:rPr>
              <w:t>2、</w:t>
            </w:r>
            <w:r>
              <w:rPr>
                <w:rFonts w:ascii="仿宋_GB2312" w:hAnsi="仿宋_GB2312" w:cs="仿宋_GB2312" w:eastAsia="仿宋_GB2312"/>
              </w:rPr>
              <w:t>服务标准：编制成果符合国家及行业有关质量、安全及技术规范、规程、标准要求，达到国家及行业有关文件编制深度的规定。</w:t>
            </w:r>
          </w:p>
          <w:p>
            <w:pPr>
              <w:pStyle w:val="null3"/>
              <w:ind w:left="600"/>
              <w:jc w:val="both"/>
            </w:pPr>
            <w:r>
              <w:rPr>
                <w:rFonts w:ascii="仿宋_GB2312" w:hAnsi="仿宋_GB2312" w:cs="仿宋_GB2312" w:eastAsia="仿宋_GB2312"/>
              </w:rPr>
              <w:t>3、付款方式：</w:t>
            </w:r>
          </w:p>
          <w:p>
            <w:pPr>
              <w:pStyle w:val="null3"/>
              <w:ind w:left="600"/>
              <w:jc w:val="both"/>
            </w:pPr>
            <w:r>
              <w:rPr>
                <w:rFonts w:ascii="仿宋_GB2312" w:hAnsi="仿宋_GB2312" w:cs="仿宋_GB2312" w:eastAsia="仿宋_GB2312"/>
                <w:color w:val="333333"/>
                <w:shd w:fill="FFFFFF" w:val="clear"/>
              </w:rPr>
              <w:t xml:space="preserve"> 1.</w:t>
            </w:r>
            <w:r>
              <w:rPr>
                <w:rFonts w:ascii="仿宋_GB2312" w:hAnsi="仿宋_GB2312" w:cs="仿宋_GB2312" w:eastAsia="仿宋_GB2312"/>
                <w:color w:val="333333"/>
                <w:shd w:fill="FFFFFF" w:val="clear"/>
              </w:rPr>
              <w:t>项目签订合同后，达到付款条件起</w:t>
            </w:r>
            <w:r>
              <w:rPr>
                <w:rFonts w:ascii="仿宋_GB2312" w:hAnsi="仿宋_GB2312" w:cs="仿宋_GB2312" w:eastAsia="仿宋_GB2312"/>
                <w:color w:val="333333"/>
                <w:shd w:fill="FFFFFF" w:val="clear"/>
              </w:rPr>
              <w:t>20</w:t>
            </w:r>
            <w:r>
              <w:rPr>
                <w:rFonts w:ascii="仿宋_GB2312" w:hAnsi="仿宋_GB2312" w:cs="仿宋_GB2312" w:eastAsia="仿宋_GB2312"/>
                <w:color w:val="333333"/>
                <w:shd w:fill="FFFFFF" w:val="clear"/>
              </w:rPr>
              <w:t>日内，支付合同总金额的40.00%。</w:t>
            </w:r>
          </w:p>
          <w:p>
            <w:pPr>
              <w:pStyle w:val="null3"/>
              <w:ind w:left="600"/>
              <w:jc w:val="both"/>
            </w:pPr>
            <w:r>
              <w:rPr>
                <w:rFonts w:ascii="仿宋_GB2312" w:hAnsi="仿宋_GB2312" w:cs="仿宋_GB2312" w:eastAsia="仿宋_GB2312"/>
                <w:color w:val="333333"/>
                <w:shd w:fill="FFFFFF" w:val="clear"/>
              </w:rPr>
              <w:t xml:space="preserve"> 2.</w:t>
            </w:r>
            <w:r>
              <w:rPr>
                <w:rFonts w:ascii="仿宋_GB2312" w:hAnsi="仿宋_GB2312" w:cs="仿宋_GB2312" w:eastAsia="仿宋_GB2312"/>
                <w:color w:val="333333"/>
                <w:shd w:fill="FFFFFF" w:val="clear"/>
              </w:rPr>
              <w:t>完成项目</w:t>
            </w:r>
            <w:r>
              <w:rPr>
                <w:rFonts w:ascii="仿宋_GB2312" w:hAnsi="仿宋_GB2312" w:cs="仿宋_GB2312" w:eastAsia="仿宋_GB2312"/>
                <w:color w:val="333333"/>
                <w:shd w:fill="FFFFFF" w:val="clear"/>
              </w:rPr>
              <w:t>规划编制初稿并通过采购人确认</w:t>
            </w:r>
            <w:r>
              <w:rPr>
                <w:rFonts w:ascii="仿宋_GB2312" w:hAnsi="仿宋_GB2312" w:cs="仿宋_GB2312" w:eastAsia="仿宋_GB2312"/>
                <w:color w:val="333333"/>
                <w:shd w:fill="FFFFFF" w:val="clear"/>
              </w:rPr>
              <w:t>后，达到付款条件起</w:t>
            </w:r>
            <w:r>
              <w:rPr>
                <w:rFonts w:ascii="仿宋_GB2312" w:hAnsi="仿宋_GB2312" w:cs="仿宋_GB2312" w:eastAsia="仿宋_GB2312"/>
                <w:color w:val="333333"/>
                <w:shd w:fill="FFFFFF" w:val="clear"/>
              </w:rPr>
              <w:t>20</w:t>
            </w:r>
            <w:r>
              <w:rPr>
                <w:rFonts w:ascii="仿宋_GB2312" w:hAnsi="仿宋_GB2312" w:cs="仿宋_GB2312" w:eastAsia="仿宋_GB2312"/>
                <w:color w:val="333333"/>
                <w:shd w:fill="FFFFFF" w:val="clear"/>
              </w:rPr>
              <w:t>日内，支付合同总金额的</w:t>
            </w:r>
            <w:r>
              <w:rPr>
                <w:rFonts w:ascii="仿宋_GB2312" w:hAnsi="仿宋_GB2312" w:cs="仿宋_GB2312" w:eastAsia="仿宋_GB2312"/>
                <w:color w:val="333333"/>
                <w:shd w:fill="FFFFFF" w:val="clear"/>
              </w:rPr>
              <w:t>30</w:t>
            </w:r>
            <w:r>
              <w:rPr>
                <w:rFonts w:ascii="仿宋_GB2312" w:hAnsi="仿宋_GB2312" w:cs="仿宋_GB2312" w:eastAsia="仿宋_GB2312"/>
                <w:color w:val="333333"/>
                <w:shd w:fill="FFFFFF" w:val="clear"/>
              </w:rPr>
              <w:t>.00%。</w:t>
            </w:r>
          </w:p>
          <w:p>
            <w:pPr>
              <w:pStyle w:val="null3"/>
              <w:ind w:left="600"/>
              <w:jc w:val="both"/>
            </w:pPr>
            <w:r>
              <w:rPr>
                <w:rFonts w:ascii="仿宋_GB2312" w:hAnsi="仿宋_GB2312" w:cs="仿宋_GB2312" w:eastAsia="仿宋_GB2312"/>
                <w:color w:val="333333"/>
                <w:shd w:fill="FFFFFF" w:val="clear"/>
              </w:rPr>
              <w:t xml:space="preserve"> </w:t>
            </w:r>
            <w:r>
              <w:rPr>
                <w:rFonts w:ascii="仿宋_GB2312" w:hAnsi="仿宋_GB2312" w:cs="仿宋_GB2312" w:eastAsia="仿宋_GB2312"/>
                <w:color w:val="333333"/>
                <w:shd w:fill="FFFFFF" w:val="clear"/>
              </w:rPr>
              <w:t>3.</w:t>
            </w:r>
            <w:r>
              <w:rPr>
                <w:rFonts w:ascii="仿宋_GB2312" w:hAnsi="仿宋_GB2312" w:cs="仿宋_GB2312" w:eastAsia="仿宋_GB2312"/>
                <w:color w:val="333333"/>
                <w:shd w:fill="FFFFFF" w:val="clear"/>
              </w:rPr>
              <w:t>项目编制完成并通过验收后</w:t>
            </w:r>
            <w:r>
              <w:rPr>
                <w:rFonts w:ascii="仿宋_GB2312" w:hAnsi="仿宋_GB2312" w:cs="仿宋_GB2312" w:eastAsia="仿宋_GB2312"/>
                <w:color w:val="333333"/>
                <w:shd w:fill="FFFFFF" w:val="clear"/>
              </w:rPr>
              <w:t>，</w:t>
            </w:r>
            <w:r>
              <w:rPr>
                <w:rFonts w:ascii="仿宋_GB2312" w:hAnsi="仿宋_GB2312" w:cs="仿宋_GB2312" w:eastAsia="仿宋_GB2312"/>
                <w:color w:val="333333"/>
                <w:shd w:fill="FFFFFF" w:val="clear"/>
              </w:rPr>
              <w:t>达到付款条件起</w:t>
            </w:r>
            <w:r>
              <w:rPr>
                <w:rFonts w:ascii="仿宋_GB2312" w:hAnsi="仿宋_GB2312" w:cs="仿宋_GB2312" w:eastAsia="仿宋_GB2312"/>
                <w:color w:val="333333"/>
                <w:shd w:fill="FFFFFF" w:val="clear"/>
              </w:rPr>
              <w:t>20</w:t>
            </w:r>
            <w:r>
              <w:rPr>
                <w:rFonts w:ascii="仿宋_GB2312" w:hAnsi="仿宋_GB2312" w:cs="仿宋_GB2312" w:eastAsia="仿宋_GB2312"/>
                <w:color w:val="333333"/>
                <w:shd w:fill="FFFFFF" w:val="clear"/>
              </w:rPr>
              <w:t>日内，支付合同总金额的</w:t>
            </w:r>
            <w:r>
              <w:rPr>
                <w:rFonts w:ascii="仿宋_GB2312" w:hAnsi="仿宋_GB2312" w:cs="仿宋_GB2312" w:eastAsia="仿宋_GB2312"/>
                <w:color w:val="333333"/>
                <w:shd w:fill="FFFFFF" w:val="clear"/>
              </w:rPr>
              <w:t>30</w:t>
            </w:r>
            <w:r>
              <w:rPr>
                <w:rFonts w:ascii="仿宋_GB2312" w:hAnsi="仿宋_GB2312" w:cs="仿宋_GB2312" w:eastAsia="仿宋_GB2312"/>
                <w:color w:val="333333"/>
                <w:shd w:fill="FFFFFF" w:val="clear"/>
              </w:rPr>
              <w:t>.00%。</w:t>
            </w:r>
          </w:p>
          <w:p>
            <w:pPr>
              <w:pStyle w:val="null3"/>
              <w:ind w:left="600"/>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按照项目实际情况进行配置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按照项目实际情况进行配置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自合同签订之日起至成交供应商按要求履行服务并通过采购人确认最终成果。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满足采购人要求，提交成果内容满足技术要求，确保本项目验收通过。</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项目签订合同后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完成项目规划编制初稿并通过采购人确认后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项目编制完成并通过验收后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在执行本合同中发生的或与本合同有关的争端，双方应通过友好协商解决，经协商未能达成协议时，可向甲方所在地有管辖权的人民法院提起诉讼。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成交供应商须在采购结果公告发布后将纸质版磋商响应文件正本 1 份、副本 1份递交至采购代理机构处（陕西省西安市碑林区长安北路8号陕西高速大厦12层），成交供应商应保持磋商响应文件纸质版内容与项目电子化交易系统所响应内容完全一致，否则将承担一切法律责任。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具有独立承担民事责任的能力，提供法人或者其他组织的营业执照等证明文件，自然人参与的提供其身份证明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财务会计报告（包括审计报告、资产负债表、利润表、现金流量表、所有者权益变动表及其附注，成立时间至提交响应文件截止时间不足一年的可提供成立后任意时段的资产负债表），或其磋商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提供开标前近六个月内已缴纳任意一个月完税凭证或税务机关开具的完税证明（任意税种）；依法免税的应提供相关文件证明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提供开标前近六个月内已缴存的任意一个月的社会保障资金缴存证明或社保机构开具的社会保险参保缴费情况证明；依法不需要缴纳社会保障资金的应提供相关文件证明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 网站（www.creditchina.gov.cn）中列入失信被执行人或重大税收违法失信主体的供应商，不得为中国政府采购网（www.ccgp.gov.cn）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 供应商认为有必要补充说明的事项.docx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提供具备履行合同所必需的设备和专业技术能力的说明及承诺（提供书面承诺函）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法定代表人授权书（附法定代表人及被授权人 身份证复印件） 及被授权人身份证（如法定代表人直接投标须提交法定代表人身份证及法人身份证明）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磋商响应文件的完整性审查</w:t>
            </w:r>
          </w:p>
        </w:tc>
        <w:tc>
          <w:tcPr>
            <w:tcW w:type="dxa" w:w="3322"/>
          </w:tcPr>
          <w:p>
            <w:pPr>
              <w:pStyle w:val="null3"/>
            </w:pPr>
            <w:r>
              <w:rPr>
                <w:rFonts w:ascii="仿宋_GB2312" w:hAnsi="仿宋_GB2312" w:cs="仿宋_GB2312" w:eastAsia="仿宋_GB2312"/>
              </w:rPr>
              <w:t>1.磋商响应文件是否按照磋商文件要求的格式编写； 2.磋商响应文件内容是否有重大缺漏项。</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磋商响应文件的有效性审查</w:t>
            </w:r>
          </w:p>
        </w:tc>
        <w:tc>
          <w:tcPr>
            <w:tcW w:type="dxa" w:w="3322"/>
          </w:tcPr>
          <w:p>
            <w:pPr>
              <w:pStyle w:val="null3"/>
            </w:pPr>
            <w:r>
              <w:rPr>
                <w:rFonts w:ascii="仿宋_GB2312" w:hAnsi="仿宋_GB2312" w:cs="仿宋_GB2312" w:eastAsia="仿宋_GB2312"/>
              </w:rPr>
              <w:t>1.磋商响应文件的签署、加盖印章是否合格、有效； 2.提供的各种证明文件、数据、资料是否真实、有效。</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磋商文件的响应性审查</w:t>
            </w:r>
          </w:p>
        </w:tc>
        <w:tc>
          <w:tcPr>
            <w:tcW w:type="dxa" w:w="3322"/>
          </w:tcPr>
          <w:p>
            <w:pPr>
              <w:pStyle w:val="null3"/>
            </w:pPr>
            <w:r>
              <w:rPr>
                <w:rFonts w:ascii="仿宋_GB2312" w:hAnsi="仿宋_GB2312" w:cs="仿宋_GB2312" w:eastAsia="仿宋_GB2312"/>
              </w:rPr>
              <w:t>1.磋商报价是否超过采购预算； 2.磋商报价是否低于成本价，涉嫌不正当竞争（如果评审小组认为某投标报价明显不合理或者低于成本，有可能影响产品质量或者不能诚信履约的，应当要求其在规定期限内提供书面文件予以解释说明，并提交相关证明材料）； 3.磋商有效期是否符合磋商文件的要求。</w:t>
            </w:r>
          </w:p>
        </w:tc>
        <w:tc>
          <w:tcPr>
            <w:tcW w:type="dxa" w:w="1661"/>
          </w:tcPr>
          <w:p>
            <w:pPr>
              <w:pStyle w:val="null3"/>
            </w:pPr>
            <w:r>
              <w:rPr>
                <w:rFonts w:ascii="仿宋_GB2312" w:hAnsi="仿宋_GB2312" w:cs="仿宋_GB2312" w:eastAsia="仿宋_GB2312"/>
              </w:rPr>
              <w:t>响应文件封面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项目理解分析与重难点把握</w:t>
            </w:r>
          </w:p>
        </w:tc>
        <w:tc>
          <w:tcPr>
            <w:tcW w:type="dxa" w:w="2492"/>
          </w:tcPr>
          <w:p>
            <w:pPr>
              <w:pStyle w:val="null3"/>
            </w:pPr>
            <w:r>
              <w:rPr>
                <w:rFonts w:ascii="仿宋_GB2312" w:hAnsi="仿宋_GB2312" w:cs="仿宋_GB2312" w:eastAsia="仿宋_GB2312"/>
              </w:rPr>
              <w:t>1.供应商对本项目需求情况进行了全面分析； 2.供应商对项目背景、项目目的、项目内容等总体情况有深入理解和了解； 3.供应商熟悉“十四五”时期城市生态环境保护规划和经济发展的基本情况和当前存在的主要问题，能够很好把握重点、条理清楚、思路清晰； 4.供应商对项目实施过程中可能存在的问题及产生问题的原因分析全面科学合理，提出合理可行且具有针对性的解决方案。 以上方面，每项4分，有一项缺乏完整性、合理性的扣2分，有一项缺项漏项的扣4分。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对“十五五”时期生态环境保护规划和经济发展的主要目标、重点任务、重大项目及重点行业、国家政策等内容的理解，针对：深入开展规划编制调研工作、开展前期研究形成基本思路、起草形成规划基本思路和框架、组织文本成果编制、成果资料的汇编印刷服务等内容编写的服务方案进行评审。 以上方面，每项6分，有一项缺乏完整性、合理性的扣3分，有一项缺项漏项的扣6分。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编制工作进度计划安排及保证措施</w:t>
            </w:r>
          </w:p>
        </w:tc>
        <w:tc>
          <w:tcPr>
            <w:tcW w:type="dxa" w:w="2492"/>
          </w:tcPr>
          <w:p>
            <w:pPr>
              <w:pStyle w:val="null3"/>
            </w:pPr>
            <w:r>
              <w:rPr>
                <w:rFonts w:ascii="仿宋_GB2312" w:hAnsi="仿宋_GB2312" w:cs="仿宋_GB2312" w:eastAsia="仿宋_GB2312"/>
              </w:rPr>
              <w:t>1.项目进度计划内容全面、合理，满足磋商文件的要求； 2.报告编制进度计划内容全面、合理； 3.有切实可行的保障措施； 4.有具体的违约责任及处罚细则。 以上方面，每项2.5分，均有完整、具体详细、合理可行的描述及保证措施的，得满分10分；有一项描述缺乏完整性或合理性的扣1.5分；有一项缺项漏项的扣2.5分。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1、项目负责人类似项目经验（3分） 项目负责人具有类似项目经验的，得3分。 注：提供项目负责人类似项目经验证明材料（服务合同或业主证明或编制成果文件等有效证明文件扫描件），证明材料需体现项目负责人名字，证明材料不全的，不予加分。 2、项目组其他人员情况（8分） （1）项目组其他成员不少于5人，专业配备齐全，人员配置合理，为本单位人员，得2分，人员人数不满足该项不得分； （2）其他成员中具有高级或（含高级）以上职称的1人得1.5分；（满分3分） （3）有环境类相关专业中级及以上工程师职称或咨询工程师（投资）证书1人得1.5分，提供有效证明。（满分3分） 注：提供职称证书或资格证书（扫描件）</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（一）服务质量承诺及保障措施（5分） 1.提供了详细的服务质量承诺，内容全面、合理，有切实可行的保障措施； 2.有明确、合理可行的违约责任承诺及惩处措施。 以上方面，每项2.5分，有一项缺乏完整性、合理性的扣1.5分，有一项缺项漏项的扣2.5分。 （二）人员到位承诺及保障措施（4分） 提供了详细的人员到位承诺，内容全面、合理，且对应提供了切实可行的保障措施、违约责任承诺及惩处措施； 以上方面，描述完整、合理全面得4分，缺乏完整性、合理性的扣2分，缺项漏项的扣4分。 （三）保密承诺及保障措施（4分） 提供了详细的保密承诺，内容全面、合理，且对应提供了切实可行的保障措施、违约责任承诺及惩处措施； 以上方面，描述完整、合理全面得4分，缺乏完整性、合理性的扣2分，缺项漏项的扣4分。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供应商提供2020年1月1日以来类似项目业绩，包括不限于规划编制、政策课题研究、政策评估等类似项目业绩证明材料（中标/成交通知书或合同或业主证明等有效证明），每提供一个得2分，最高得10分。 注:上述业绩不包含履约中的业绩，业绩需提供盖章版复印件或扫描件。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磋商报价得分=（磋商基准价/最后磋商报价）×10，满足磋商文件要求且最后报价最低的供应商的价格为磋商基准价，其价格分为满分。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