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AD14C">
      <w:pPr>
        <w:pStyle w:val="7"/>
        <w:spacing w:before="240" w:beforeLines="100"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20CC455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5374F6C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79A95522">
      <w:pPr>
        <w:pStyle w:val="7"/>
        <w:spacing w:line="360" w:lineRule="auto"/>
        <w:ind w:firstLine="420"/>
        <w:rPr>
          <w:rFonts w:hint="eastAsia" w:ascii="宋体" w:hAnsi="宋体"/>
          <w:sz w:val="21"/>
          <w:szCs w:val="21"/>
          <w:highlight w:val="none"/>
        </w:rPr>
      </w:pPr>
    </w:p>
    <w:p w14:paraId="5549A42A">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采购人（甲方）：</w:t>
      </w:r>
      <w:bookmarkStart w:id="26" w:name="_GoBack"/>
      <w:bookmarkEnd w:id="26"/>
    </w:p>
    <w:p w14:paraId="32D008C6">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14690ADA">
      <w:pPr>
        <w:pStyle w:val="7"/>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采购项目（采购项目编号：</w:t>
      </w:r>
      <w:r>
        <w:rPr>
          <w:rFonts w:hint="eastAsia" w:ascii="宋体" w:hAnsi="宋体"/>
          <w:sz w:val="21"/>
          <w:szCs w:val="21"/>
          <w:highlight w:val="none"/>
          <w:lang w:val="en-US" w:eastAsia="zh-CN"/>
        </w:rPr>
        <w:t xml:space="preserve">         </w:t>
      </w:r>
      <w:r>
        <w:rPr>
          <w:rFonts w:hint="eastAsia" w:ascii="宋体" w:hAnsi="宋体"/>
          <w:sz w:val="21"/>
          <w:szCs w:val="21"/>
          <w:highlight w:val="none"/>
        </w:rPr>
        <w:t>）的</w:t>
      </w:r>
      <w:r>
        <w:rPr>
          <w:rFonts w:hint="eastAsia" w:ascii="宋体" w:hAnsi="宋体"/>
          <w:sz w:val="21"/>
          <w:szCs w:val="21"/>
          <w:highlight w:val="none"/>
          <w:lang w:val="en-US" w:eastAsia="zh-CN"/>
        </w:rPr>
        <w:t>招标</w:t>
      </w:r>
      <w:r>
        <w:rPr>
          <w:rFonts w:hint="eastAsia" w:ascii="宋体" w:hAnsi="宋体"/>
          <w:sz w:val="21"/>
          <w:szCs w:val="21"/>
          <w:highlight w:val="none"/>
        </w:rPr>
        <w:t>文件、响应文件等有关规定，为确保甲方采购项目的顺利实施，甲、乙双方在平等自愿原则下签订本合同，并共同遵守如下条款：</w:t>
      </w:r>
    </w:p>
    <w:p w14:paraId="002A0347">
      <w:pPr>
        <w:pStyle w:val="7"/>
        <w:spacing w:before="120" w:beforeLines="50" w:line="360" w:lineRule="auto"/>
        <w:ind w:firstLine="452" w:firstLineChars="150"/>
        <w:outlineLvl w:val="1"/>
        <w:rPr>
          <w:rFonts w:hint="eastAsia"/>
          <w:b/>
          <w:sz w:val="30"/>
          <w:szCs w:val="30"/>
          <w:highlight w:val="none"/>
        </w:rPr>
      </w:pPr>
      <w:bookmarkStart w:id="0" w:name="_Toc30817"/>
      <w:r>
        <w:rPr>
          <w:rFonts w:hint="eastAsia"/>
          <w:b/>
          <w:sz w:val="30"/>
          <w:szCs w:val="30"/>
          <w:highlight w:val="none"/>
        </w:rPr>
        <w:t>第一条 合同标的及数量</w:t>
      </w:r>
      <w:bookmarkEnd w:id="0"/>
    </w:p>
    <w:p w14:paraId="15B2B3EF">
      <w:pPr>
        <w:pStyle w:val="4"/>
        <w:spacing w:before="120" w:beforeLines="50" w:after="120" w:afterLines="50"/>
        <w:ind w:firstLine="0"/>
        <w:jc w:val="both"/>
        <w:outlineLvl w:val="1"/>
        <w:rPr>
          <w:rFonts w:hint="eastAsia"/>
          <w:sz w:val="21"/>
          <w:szCs w:val="21"/>
          <w:highlight w:val="none"/>
        </w:rPr>
      </w:pPr>
      <w:r>
        <w:rPr>
          <w:rFonts w:hint="eastAsia"/>
          <w:sz w:val="21"/>
          <w:szCs w:val="21"/>
          <w:highlight w:val="none"/>
        </w:rPr>
        <w:t>乙方向甲方提供下列货物（产品）：</w:t>
      </w:r>
      <w:bookmarkStart w:id="1" w:name="_Toc18327"/>
    </w:p>
    <w:p w14:paraId="047C7447">
      <w:pPr>
        <w:pStyle w:val="4"/>
        <w:spacing w:before="120" w:beforeLines="50" w:after="120" w:afterLines="50"/>
        <w:ind w:firstLine="0"/>
        <w:jc w:val="center"/>
        <w:outlineLvl w:val="1"/>
        <w:rPr>
          <w:rFonts w:hint="eastAsia" w:ascii="黑体" w:hAnsi="黑体" w:eastAsia="黑体"/>
          <w:sz w:val="36"/>
          <w:szCs w:val="36"/>
          <w:highlight w:val="none"/>
        </w:rPr>
      </w:pPr>
      <w:r>
        <w:rPr>
          <w:rFonts w:hint="eastAsia" w:ascii="黑体" w:hAnsi="黑体" w:eastAsia="黑体"/>
          <w:sz w:val="36"/>
          <w:szCs w:val="36"/>
          <w:highlight w:val="none"/>
        </w:rPr>
        <w:t>供货一览表</w:t>
      </w:r>
      <w:bookmarkEnd w:id="1"/>
    </w:p>
    <w:tbl>
      <w:tblPr>
        <w:tblStyle w:val="5"/>
        <w:tblpPr w:leftFromText="180" w:rightFromText="180" w:vertAnchor="text" w:horzAnchor="page" w:tblpX="1787" w:tblpY="285"/>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0335F4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12E714DB">
            <w:pPr>
              <w:pStyle w:val="3"/>
              <w:spacing w:before="0" w:after="0" w:line="240" w:lineRule="auto"/>
              <w:jc w:val="center"/>
              <w:rPr>
                <w:rFonts w:hint="eastAsia" w:ascii="宋体" w:hAnsi="宋体" w:eastAsia="宋体"/>
                <w:sz w:val="21"/>
                <w:szCs w:val="21"/>
                <w:highlight w:val="none"/>
              </w:rPr>
            </w:pPr>
            <w:bookmarkStart w:id="2" w:name="_Toc27462"/>
            <w:bookmarkStart w:id="3" w:name="_Toc15957"/>
            <w:r>
              <w:rPr>
                <w:rFonts w:hint="eastAsia" w:ascii="宋体" w:hAnsi="宋体" w:eastAsia="宋体"/>
                <w:sz w:val="21"/>
                <w:szCs w:val="21"/>
                <w:highlight w:val="none"/>
              </w:rPr>
              <w:t>序号</w:t>
            </w:r>
            <w:bookmarkEnd w:id="2"/>
          </w:p>
        </w:tc>
        <w:tc>
          <w:tcPr>
            <w:tcW w:w="1728" w:type="dxa"/>
            <w:noWrap w:val="0"/>
            <w:vAlign w:val="center"/>
          </w:tcPr>
          <w:p w14:paraId="5F0BD572">
            <w:pPr>
              <w:pStyle w:val="3"/>
              <w:spacing w:before="0" w:after="0"/>
              <w:jc w:val="center"/>
              <w:rPr>
                <w:rFonts w:hint="eastAsia" w:ascii="宋体" w:hAnsi="宋体" w:eastAsia="宋体"/>
                <w:sz w:val="21"/>
                <w:szCs w:val="21"/>
                <w:highlight w:val="none"/>
              </w:rPr>
            </w:pPr>
            <w:bookmarkStart w:id="4" w:name="_Toc7301"/>
            <w:r>
              <w:rPr>
                <w:rFonts w:hint="eastAsia" w:ascii="宋体" w:hAnsi="宋体" w:eastAsia="宋体"/>
                <w:sz w:val="21"/>
                <w:szCs w:val="21"/>
                <w:highlight w:val="none"/>
              </w:rPr>
              <w:t>产品名称</w:t>
            </w:r>
            <w:bookmarkEnd w:id="4"/>
          </w:p>
        </w:tc>
        <w:tc>
          <w:tcPr>
            <w:tcW w:w="1194" w:type="dxa"/>
            <w:noWrap w:val="0"/>
            <w:vAlign w:val="center"/>
          </w:tcPr>
          <w:p w14:paraId="48044E4A">
            <w:pPr>
              <w:pStyle w:val="3"/>
              <w:spacing w:before="0" w:after="0"/>
              <w:jc w:val="center"/>
              <w:rPr>
                <w:rFonts w:hint="eastAsia" w:ascii="宋体" w:hAnsi="宋体" w:eastAsia="宋体"/>
                <w:sz w:val="21"/>
                <w:szCs w:val="21"/>
                <w:highlight w:val="none"/>
              </w:rPr>
            </w:pPr>
            <w:bookmarkStart w:id="5" w:name="_Toc8945"/>
            <w:r>
              <w:rPr>
                <w:rFonts w:hint="eastAsia" w:ascii="宋体" w:hAnsi="宋体" w:eastAsia="宋体"/>
                <w:sz w:val="21"/>
                <w:szCs w:val="21"/>
                <w:highlight w:val="none"/>
              </w:rPr>
              <w:t>品牌</w:t>
            </w:r>
            <w:bookmarkEnd w:id="5"/>
          </w:p>
        </w:tc>
        <w:tc>
          <w:tcPr>
            <w:tcW w:w="1783" w:type="dxa"/>
            <w:noWrap w:val="0"/>
            <w:vAlign w:val="center"/>
          </w:tcPr>
          <w:p w14:paraId="19252E8D">
            <w:pPr>
              <w:pStyle w:val="3"/>
              <w:spacing w:before="0" w:after="0" w:line="400" w:lineRule="exact"/>
              <w:jc w:val="center"/>
              <w:rPr>
                <w:rFonts w:hint="eastAsia" w:ascii="宋体" w:hAnsi="宋体" w:eastAsia="宋体"/>
                <w:sz w:val="21"/>
                <w:szCs w:val="21"/>
                <w:highlight w:val="none"/>
              </w:rPr>
            </w:pPr>
            <w:bookmarkStart w:id="6" w:name="_Toc22885"/>
            <w:r>
              <w:rPr>
                <w:rFonts w:hint="eastAsia" w:ascii="宋体" w:hAnsi="宋体" w:eastAsia="宋体"/>
                <w:sz w:val="21"/>
                <w:szCs w:val="21"/>
                <w:highlight w:val="none"/>
              </w:rPr>
              <w:t>型号规格</w:t>
            </w:r>
            <w:bookmarkEnd w:id="6"/>
          </w:p>
        </w:tc>
        <w:tc>
          <w:tcPr>
            <w:tcW w:w="709" w:type="dxa"/>
            <w:noWrap w:val="0"/>
            <w:vAlign w:val="center"/>
          </w:tcPr>
          <w:p w14:paraId="5AE5B496">
            <w:pPr>
              <w:pStyle w:val="3"/>
              <w:spacing w:before="0" w:after="0" w:line="240" w:lineRule="auto"/>
              <w:jc w:val="center"/>
              <w:rPr>
                <w:rFonts w:hint="eastAsia" w:ascii="宋体" w:hAnsi="宋体" w:eastAsia="宋体"/>
                <w:sz w:val="21"/>
                <w:szCs w:val="21"/>
                <w:highlight w:val="none"/>
              </w:rPr>
            </w:pPr>
            <w:bookmarkStart w:id="7" w:name="_Toc20562"/>
            <w:r>
              <w:rPr>
                <w:rFonts w:hint="eastAsia" w:ascii="宋体" w:hAnsi="宋体" w:eastAsia="宋体"/>
                <w:sz w:val="21"/>
                <w:szCs w:val="21"/>
                <w:highlight w:val="none"/>
              </w:rPr>
              <w:t>计量单位</w:t>
            </w:r>
            <w:bookmarkEnd w:id="7"/>
          </w:p>
        </w:tc>
        <w:tc>
          <w:tcPr>
            <w:tcW w:w="709" w:type="dxa"/>
            <w:noWrap w:val="0"/>
            <w:vAlign w:val="center"/>
          </w:tcPr>
          <w:p w14:paraId="0540EC5F">
            <w:pPr>
              <w:pStyle w:val="3"/>
              <w:spacing w:before="0" w:after="0"/>
              <w:jc w:val="center"/>
              <w:rPr>
                <w:rFonts w:hint="eastAsia" w:ascii="宋体" w:hAnsi="宋体" w:eastAsia="宋体"/>
                <w:sz w:val="21"/>
                <w:szCs w:val="21"/>
                <w:highlight w:val="none"/>
              </w:rPr>
            </w:pPr>
            <w:bookmarkStart w:id="8" w:name="_Toc30301"/>
            <w:r>
              <w:rPr>
                <w:rFonts w:hint="eastAsia" w:ascii="宋体" w:hAnsi="宋体" w:eastAsia="宋体"/>
                <w:sz w:val="21"/>
                <w:szCs w:val="21"/>
                <w:highlight w:val="none"/>
              </w:rPr>
              <w:t>数量</w:t>
            </w:r>
            <w:bookmarkEnd w:id="8"/>
          </w:p>
        </w:tc>
        <w:tc>
          <w:tcPr>
            <w:tcW w:w="1134" w:type="dxa"/>
            <w:noWrap w:val="0"/>
            <w:vAlign w:val="center"/>
          </w:tcPr>
          <w:p w14:paraId="47EC4DFE">
            <w:pPr>
              <w:pStyle w:val="3"/>
              <w:spacing w:before="0" w:after="0"/>
              <w:jc w:val="center"/>
              <w:rPr>
                <w:rFonts w:hint="eastAsia" w:ascii="宋体" w:hAnsi="宋体" w:eastAsia="宋体"/>
                <w:sz w:val="21"/>
                <w:szCs w:val="21"/>
                <w:highlight w:val="none"/>
              </w:rPr>
            </w:pPr>
            <w:bookmarkStart w:id="9" w:name="_Toc5818"/>
            <w:r>
              <w:rPr>
                <w:rFonts w:hint="eastAsia" w:ascii="宋体" w:hAnsi="宋体" w:eastAsia="宋体"/>
                <w:sz w:val="21"/>
                <w:szCs w:val="21"/>
                <w:highlight w:val="none"/>
              </w:rPr>
              <w:t>单价（元）</w:t>
            </w:r>
            <w:bookmarkEnd w:id="9"/>
          </w:p>
        </w:tc>
        <w:tc>
          <w:tcPr>
            <w:tcW w:w="1417" w:type="dxa"/>
            <w:noWrap w:val="0"/>
            <w:vAlign w:val="center"/>
          </w:tcPr>
          <w:p w14:paraId="56C6263E">
            <w:pPr>
              <w:pStyle w:val="3"/>
              <w:spacing w:before="0" w:after="0"/>
              <w:ind w:left="207" w:hanging="207" w:hangingChars="98"/>
              <w:jc w:val="center"/>
              <w:rPr>
                <w:rFonts w:hint="eastAsia" w:ascii="宋体" w:hAnsi="宋体" w:eastAsia="宋体"/>
                <w:sz w:val="21"/>
                <w:szCs w:val="21"/>
                <w:highlight w:val="none"/>
              </w:rPr>
            </w:pPr>
            <w:bookmarkStart w:id="10" w:name="_Toc9555"/>
            <w:r>
              <w:rPr>
                <w:rFonts w:hint="eastAsia" w:ascii="宋体" w:hAnsi="宋体" w:eastAsia="宋体"/>
                <w:sz w:val="21"/>
                <w:szCs w:val="21"/>
                <w:highlight w:val="none"/>
              </w:rPr>
              <w:t>金额 (元)</w:t>
            </w:r>
            <w:bookmarkEnd w:id="10"/>
          </w:p>
        </w:tc>
      </w:tr>
      <w:tr w14:paraId="2F9417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6243052C">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0B4125B0">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462BCD59">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3BDABD89">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3F5EF9B">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AFE3B83">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39463915">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5D52E8F3">
            <w:pPr>
              <w:pStyle w:val="3"/>
              <w:spacing w:before="0" w:after="0" w:line="360" w:lineRule="auto"/>
              <w:outlineLvl w:val="9"/>
              <w:rPr>
                <w:rFonts w:hint="eastAsia" w:ascii="宋体" w:hAnsi="宋体" w:eastAsia="宋体"/>
                <w:sz w:val="24"/>
                <w:szCs w:val="24"/>
                <w:highlight w:val="none"/>
              </w:rPr>
            </w:pPr>
          </w:p>
        </w:tc>
      </w:tr>
      <w:tr w14:paraId="1B3824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27CD2E4">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3CA5AC56">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4B795BE0">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38BBB999">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EF83B90">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5EE9653">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098845B7">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1037DE4">
            <w:pPr>
              <w:pStyle w:val="3"/>
              <w:spacing w:before="0" w:after="0" w:line="360" w:lineRule="auto"/>
              <w:outlineLvl w:val="9"/>
              <w:rPr>
                <w:rFonts w:hint="eastAsia" w:ascii="宋体" w:hAnsi="宋体" w:eastAsia="宋体"/>
                <w:sz w:val="24"/>
                <w:szCs w:val="24"/>
                <w:highlight w:val="none"/>
              </w:rPr>
            </w:pPr>
          </w:p>
        </w:tc>
      </w:tr>
      <w:tr w14:paraId="606B48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C551ECB">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B87A3AE">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5EC5F7F">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AB55CC5">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4201C5C">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196CC0F6">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0647C80">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07B17B49">
            <w:pPr>
              <w:pStyle w:val="3"/>
              <w:spacing w:before="0" w:after="0" w:line="360" w:lineRule="auto"/>
              <w:outlineLvl w:val="9"/>
              <w:rPr>
                <w:rFonts w:hint="eastAsia" w:ascii="宋体" w:hAnsi="宋体" w:eastAsia="宋体"/>
                <w:sz w:val="24"/>
                <w:szCs w:val="24"/>
                <w:highlight w:val="none"/>
              </w:rPr>
            </w:pPr>
          </w:p>
        </w:tc>
      </w:tr>
      <w:tr w14:paraId="77DBA1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7E28A92">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712601F0">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4EEAEE43">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4D2359AA">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B9233C0">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5CDB319">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DB7B01C">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653475D4">
            <w:pPr>
              <w:pStyle w:val="3"/>
              <w:spacing w:before="0" w:after="0" w:line="360" w:lineRule="auto"/>
              <w:outlineLvl w:val="9"/>
              <w:rPr>
                <w:rFonts w:hint="eastAsia" w:ascii="宋体" w:hAnsi="宋体" w:eastAsia="宋体"/>
                <w:sz w:val="24"/>
                <w:szCs w:val="24"/>
                <w:highlight w:val="none"/>
              </w:rPr>
            </w:pPr>
          </w:p>
        </w:tc>
      </w:tr>
      <w:tr w14:paraId="299782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F0BD5F0">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3B0B160F">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007A0F0B">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1E3BF9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43D05A87">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3A3148D">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DD9D019">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2A13C4B2">
            <w:pPr>
              <w:pStyle w:val="3"/>
              <w:spacing w:before="0" w:after="0" w:line="360" w:lineRule="auto"/>
              <w:outlineLvl w:val="9"/>
              <w:rPr>
                <w:rFonts w:hint="eastAsia" w:ascii="宋体" w:hAnsi="宋体" w:eastAsia="宋体"/>
                <w:sz w:val="24"/>
                <w:szCs w:val="24"/>
                <w:highlight w:val="none"/>
              </w:rPr>
            </w:pPr>
          </w:p>
        </w:tc>
      </w:tr>
      <w:tr w14:paraId="34E2D1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62EF5A3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05E6040E">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0D599841">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F6419D5">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D746841">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8D8D74F">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B77A146">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4EF26A66">
            <w:pPr>
              <w:pStyle w:val="3"/>
              <w:spacing w:before="0" w:after="0" w:line="360" w:lineRule="auto"/>
              <w:outlineLvl w:val="9"/>
              <w:rPr>
                <w:rFonts w:hint="eastAsia" w:ascii="宋体" w:hAnsi="宋体" w:eastAsia="宋体"/>
                <w:sz w:val="24"/>
                <w:szCs w:val="24"/>
                <w:highlight w:val="none"/>
              </w:rPr>
            </w:pPr>
          </w:p>
        </w:tc>
      </w:tr>
      <w:tr w14:paraId="4A096E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61E66CF">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6F85B53">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4F9F2B1">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0ED7DDC">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9C603A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4F12B87">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119BB618">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D72E9B6">
            <w:pPr>
              <w:pStyle w:val="3"/>
              <w:spacing w:before="0" w:after="0" w:line="360" w:lineRule="auto"/>
              <w:outlineLvl w:val="9"/>
              <w:rPr>
                <w:rFonts w:hint="eastAsia" w:ascii="宋体" w:hAnsi="宋体" w:eastAsia="宋体"/>
                <w:sz w:val="24"/>
                <w:szCs w:val="24"/>
                <w:highlight w:val="none"/>
              </w:rPr>
            </w:pPr>
          </w:p>
        </w:tc>
      </w:tr>
      <w:tr w14:paraId="2EBE53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50C0496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510D3BE6">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0AD594FB">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3B09D5C">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AC93DC4">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54F2491">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726DAF0D">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0CE027FB">
            <w:pPr>
              <w:pStyle w:val="3"/>
              <w:spacing w:before="0" w:after="0" w:line="360" w:lineRule="auto"/>
              <w:outlineLvl w:val="9"/>
              <w:rPr>
                <w:rFonts w:hint="eastAsia" w:ascii="宋体" w:hAnsi="宋体" w:eastAsia="宋体"/>
                <w:sz w:val="24"/>
                <w:szCs w:val="24"/>
                <w:highlight w:val="none"/>
              </w:rPr>
            </w:pPr>
          </w:p>
        </w:tc>
      </w:tr>
      <w:tr w14:paraId="3CB66E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7FA30CF">
            <w:pPr>
              <w:pStyle w:val="3"/>
              <w:spacing w:before="0" w:after="0" w:line="360" w:lineRule="auto"/>
              <w:outlineLvl w:val="9"/>
              <w:rPr>
                <w:rFonts w:hint="eastAsia" w:ascii="宋体" w:hAnsi="宋体" w:eastAsia="宋体"/>
                <w:sz w:val="24"/>
                <w:szCs w:val="24"/>
                <w:highlight w:val="none"/>
              </w:rPr>
            </w:pPr>
          </w:p>
        </w:tc>
        <w:tc>
          <w:tcPr>
            <w:tcW w:w="6123" w:type="dxa"/>
            <w:gridSpan w:val="5"/>
            <w:noWrap w:val="0"/>
            <w:vAlign w:val="center"/>
          </w:tcPr>
          <w:p w14:paraId="28ED1D44">
            <w:pPr>
              <w:pStyle w:val="3"/>
              <w:spacing w:before="0" w:after="0" w:line="240" w:lineRule="auto"/>
              <w:rPr>
                <w:rFonts w:hint="eastAsia" w:ascii="宋体" w:hAnsi="宋体" w:eastAsia="宋体"/>
                <w:sz w:val="21"/>
                <w:szCs w:val="21"/>
                <w:highlight w:val="none"/>
              </w:rPr>
            </w:pPr>
            <w:bookmarkStart w:id="11" w:name="_Toc29929"/>
            <w:r>
              <w:rPr>
                <w:rFonts w:hint="eastAsia" w:ascii="宋体" w:hAnsi="宋体" w:eastAsia="宋体"/>
                <w:sz w:val="21"/>
                <w:szCs w:val="21"/>
                <w:highlight w:val="none"/>
              </w:rPr>
              <w:t>大写</w:t>
            </w:r>
            <w:bookmarkEnd w:id="11"/>
          </w:p>
        </w:tc>
        <w:tc>
          <w:tcPr>
            <w:tcW w:w="2551" w:type="dxa"/>
            <w:gridSpan w:val="2"/>
            <w:noWrap w:val="0"/>
            <w:vAlign w:val="center"/>
          </w:tcPr>
          <w:p w14:paraId="7D03CEF2">
            <w:pPr>
              <w:pStyle w:val="3"/>
              <w:spacing w:before="0" w:after="0" w:line="240" w:lineRule="auto"/>
              <w:rPr>
                <w:rFonts w:hint="eastAsia" w:ascii="宋体" w:hAnsi="宋体" w:eastAsia="宋体"/>
                <w:sz w:val="21"/>
                <w:szCs w:val="21"/>
                <w:highlight w:val="none"/>
              </w:rPr>
            </w:pPr>
            <w:bookmarkStart w:id="12" w:name="_Toc29877"/>
            <w:r>
              <w:rPr>
                <w:rFonts w:hint="eastAsia" w:ascii="宋体" w:hAnsi="宋体" w:eastAsia="宋体"/>
                <w:sz w:val="21"/>
                <w:szCs w:val="21"/>
                <w:highlight w:val="none"/>
              </w:rPr>
              <w:t>￥</w:t>
            </w:r>
            <w:bookmarkEnd w:id="12"/>
          </w:p>
        </w:tc>
      </w:tr>
    </w:tbl>
    <w:p w14:paraId="28B8FCB4">
      <w:pPr>
        <w:pStyle w:val="7"/>
        <w:spacing w:before="120" w:beforeLines="50" w:line="360" w:lineRule="auto"/>
        <w:ind w:firstLine="452" w:firstLineChars="150"/>
        <w:outlineLvl w:val="1"/>
        <w:rPr>
          <w:rFonts w:hint="eastAsia" w:ascii="Calibri" w:hAnsi="Calibri" w:eastAsia="宋体" w:cs="宋体"/>
          <w:b/>
          <w:sz w:val="30"/>
          <w:szCs w:val="30"/>
          <w:highlight w:val="none"/>
        </w:rPr>
      </w:pPr>
      <w:r>
        <w:rPr>
          <w:rFonts w:hint="eastAsia" w:ascii="Calibri" w:hAnsi="Calibri" w:eastAsia="宋体" w:cs="宋体"/>
          <w:b/>
          <w:sz w:val="30"/>
          <w:szCs w:val="30"/>
          <w:highlight w:val="none"/>
        </w:rPr>
        <w:t>第二条 合同价款</w:t>
      </w:r>
      <w:bookmarkEnd w:id="3"/>
    </w:p>
    <w:p w14:paraId="63B17F74">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1.合同总价：人民币（大写）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元，（￥</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w:t>
      </w:r>
    </w:p>
    <w:p w14:paraId="03448EF4">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2.本合同总价是货物（产品）设计、材料、制造、包装、运输、安装、调试、检测、验收合格交付使用之前及保修期内保修服务与备用物件等其他有关各项的含税费用。</w:t>
      </w:r>
    </w:p>
    <w:p w14:paraId="28702F1F">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3.本合同总价还包含乙方应当提供的伴随服务和售后服务费用。</w:t>
      </w:r>
    </w:p>
    <w:p w14:paraId="3574B356">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4.本合同执行期间合同总价不变，甲方无须另向乙方支付本合同规定之外的其他任何费用。</w:t>
      </w:r>
    </w:p>
    <w:p w14:paraId="525C846F">
      <w:pPr>
        <w:pStyle w:val="7"/>
        <w:spacing w:before="120" w:beforeLines="50" w:after="120" w:afterLines="50" w:line="360" w:lineRule="auto"/>
        <w:ind w:firstLine="500" w:firstLineChars="166"/>
        <w:outlineLvl w:val="1"/>
        <w:rPr>
          <w:rFonts w:hint="eastAsia" w:ascii="宋体" w:hAnsi="宋体" w:eastAsia="宋体" w:cs="宋体"/>
          <w:b/>
          <w:sz w:val="30"/>
          <w:szCs w:val="30"/>
          <w:highlight w:val="none"/>
        </w:rPr>
      </w:pPr>
      <w:bookmarkStart w:id="13" w:name="_Toc6491"/>
      <w:r>
        <w:rPr>
          <w:rFonts w:hint="eastAsia" w:ascii="宋体" w:hAnsi="宋体" w:eastAsia="宋体" w:cs="宋体"/>
          <w:b/>
          <w:sz w:val="30"/>
          <w:szCs w:val="30"/>
          <w:highlight w:val="none"/>
        </w:rPr>
        <w:t>第三条 货款支付</w:t>
      </w:r>
      <w:bookmarkEnd w:id="13"/>
    </w:p>
    <w:p w14:paraId="484B4411">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lang w:val="en-US" w:eastAsia="zh-CN"/>
        </w:rPr>
        <w:t>1、</w:t>
      </w:r>
      <w:r>
        <w:rPr>
          <w:rFonts w:hint="eastAsia" w:ascii="宋体" w:hAnsi="宋体"/>
          <w:sz w:val="21"/>
          <w:szCs w:val="21"/>
          <w:highlight w:val="none"/>
        </w:rPr>
        <w:t>货物（产品）按下列比例支付价款：</w:t>
      </w:r>
    </w:p>
    <w:p w14:paraId="2BDCE9B8">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1</w:t>
      </w:r>
      <w:r>
        <w:rPr>
          <w:rFonts w:hint="eastAsia" w:ascii="宋体" w:hAnsi="宋体"/>
          <w:sz w:val="21"/>
          <w:szCs w:val="21"/>
          <w:highlight w:val="none"/>
          <w:lang w:val="en-US" w:eastAsia="zh-CN"/>
        </w:rPr>
        <w:t>.</w:t>
      </w:r>
      <w:r>
        <w:rPr>
          <w:rFonts w:hint="eastAsia" w:ascii="宋体" w:hAnsi="宋体"/>
          <w:sz w:val="21"/>
          <w:szCs w:val="21"/>
          <w:highlight w:val="none"/>
        </w:rPr>
        <w:t xml:space="preserve"> 付款条件说明： 合同签订后 ，达到付款条件起 10 日内，支付合同总金额的 40.00%。</w:t>
      </w:r>
    </w:p>
    <w:p w14:paraId="0D79ED90">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w:t>
      </w:r>
      <w:r>
        <w:rPr>
          <w:rFonts w:hint="eastAsia" w:ascii="宋体" w:hAnsi="宋体"/>
          <w:sz w:val="21"/>
          <w:szCs w:val="21"/>
          <w:highlight w:val="none"/>
          <w:lang w:val="en-US" w:eastAsia="zh-CN"/>
        </w:rPr>
        <w:t>.</w:t>
      </w:r>
      <w:r>
        <w:rPr>
          <w:rFonts w:hint="eastAsia" w:ascii="宋体" w:hAnsi="宋体"/>
          <w:sz w:val="21"/>
          <w:szCs w:val="21"/>
          <w:highlight w:val="none"/>
        </w:rPr>
        <w:t xml:space="preserve"> 付款条件说明： 设备安装，整体验收合格后 ，达到付款条件起 10 日内，支付合同总金额的 60.00%。</w:t>
      </w:r>
    </w:p>
    <w:p w14:paraId="4CC78532">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3</w:t>
      </w:r>
      <w:r>
        <w:rPr>
          <w:rFonts w:hint="eastAsia" w:ascii="宋体" w:hAnsi="宋体"/>
          <w:sz w:val="21"/>
          <w:szCs w:val="21"/>
          <w:highlight w:val="none"/>
        </w:rPr>
        <w:t>.乙方须向甲方出具合法有效的完税发票，甲方进行支付结算。</w:t>
      </w:r>
    </w:p>
    <w:p w14:paraId="35B4B9A0">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4</w:t>
      </w:r>
      <w:r>
        <w:rPr>
          <w:rFonts w:hint="eastAsia" w:ascii="宋体" w:hAnsi="宋体"/>
          <w:sz w:val="21"/>
          <w:szCs w:val="21"/>
          <w:highlight w:val="none"/>
        </w:rPr>
        <w:t>.结算方式：银行转账。</w:t>
      </w:r>
    </w:p>
    <w:p w14:paraId="5D36FEF6">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4" w:name="_Toc25139"/>
      <w:r>
        <w:rPr>
          <w:rFonts w:hint="eastAsia" w:ascii="宋体" w:hAnsi="宋体"/>
          <w:b/>
          <w:sz w:val="30"/>
          <w:szCs w:val="30"/>
          <w:highlight w:val="none"/>
        </w:rPr>
        <w:t>第四条 交货时间与地点</w:t>
      </w:r>
      <w:bookmarkEnd w:id="14"/>
    </w:p>
    <w:p w14:paraId="2F52AF8A">
      <w:pPr>
        <w:pStyle w:val="7"/>
        <w:spacing w:line="360" w:lineRule="auto"/>
        <w:ind w:firstLine="561" w:firstLineChars="0"/>
        <w:rPr>
          <w:rFonts w:hint="eastAsia" w:ascii="宋体" w:hAnsi="宋体"/>
          <w:sz w:val="21"/>
          <w:szCs w:val="21"/>
          <w:highlight w:val="none"/>
        </w:rPr>
      </w:pPr>
      <w:r>
        <w:rPr>
          <w:rFonts w:hint="eastAsia" w:ascii="宋体" w:hAnsi="宋体"/>
          <w:sz w:val="21"/>
          <w:szCs w:val="21"/>
          <w:highlight w:val="none"/>
        </w:rPr>
        <w:t>乙方在合同签订生效之日起，按甲方指定时间、地点交货。</w:t>
      </w:r>
    </w:p>
    <w:p w14:paraId="24FDCCA9">
      <w:pPr>
        <w:pStyle w:val="7"/>
        <w:numPr>
          <w:ilvl w:val="0"/>
          <w:numId w:val="1"/>
        </w:numPr>
        <w:spacing w:line="360" w:lineRule="auto"/>
        <w:ind w:firstLine="561"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交货时间（交货期）： </w:t>
      </w:r>
      <w:r>
        <w:rPr>
          <w:rFonts w:hint="eastAsia" w:ascii="宋体" w:hAnsi="宋体" w:cs="宋体"/>
          <w:sz w:val="21"/>
          <w:szCs w:val="21"/>
          <w:highlight w:val="none"/>
          <w:lang w:val="en-US" w:eastAsia="zh-CN"/>
        </w:rPr>
        <w:t>合同签订后</w:t>
      </w:r>
      <w:r>
        <w:rPr>
          <w:rFonts w:hint="eastAsia" w:ascii="宋体" w:hAnsi="宋体" w:eastAsia="宋体" w:cs="宋体"/>
          <w:sz w:val="21"/>
          <w:szCs w:val="21"/>
          <w:highlight w:val="none"/>
        </w:rPr>
        <w:t>30天内完成所有设备实施安装。</w:t>
      </w:r>
    </w:p>
    <w:p w14:paraId="5B2CBBC6">
      <w:pPr>
        <w:pStyle w:val="7"/>
        <w:numPr>
          <w:ilvl w:val="0"/>
          <w:numId w:val="1"/>
        </w:numPr>
        <w:spacing w:line="360" w:lineRule="auto"/>
        <w:ind w:firstLine="561"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交货地点：</w:t>
      </w:r>
      <w:r>
        <w:rPr>
          <w:rFonts w:hint="eastAsia" w:ascii="宋体" w:hAnsi="宋体" w:cs="宋体"/>
          <w:sz w:val="21"/>
          <w:szCs w:val="21"/>
          <w:highlight w:val="none"/>
          <w:lang w:val="en-US" w:eastAsia="zh-CN"/>
        </w:rPr>
        <w:t>采购人指定地点。</w:t>
      </w:r>
    </w:p>
    <w:p w14:paraId="771BB7E9">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5" w:name="_Toc29408"/>
      <w:r>
        <w:rPr>
          <w:rFonts w:hint="eastAsia" w:ascii="宋体" w:hAnsi="宋体"/>
          <w:b/>
          <w:sz w:val="30"/>
          <w:szCs w:val="30"/>
          <w:highlight w:val="none"/>
        </w:rPr>
        <w:t>第五条 质量保证</w:t>
      </w:r>
      <w:bookmarkEnd w:id="15"/>
    </w:p>
    <w:p w14:paraId="7A3C23BA">
      <w:pPr>
        <w:pStyle w:val="7"/>
        <w:spacing w:line="360" w:lineRule="auto"/>
        <w:ind w:firstLine="630" w:firstLineChars="300"/>
        <w:rPr>
          <w:rFonts w:hint="eastAsia" w:ascii="宋体" w:hAnsi="宋体"/>
          <w:sz w:val="21"/>
          <w:szCs w:val="21"/>
          <w:highlight w:val="none"/>
        </w:rPr>
      </w:pPr>
      <w:bookmarkStart w:id="16" w:name="_Toc21612"/>
      <w:r>
        <w:rPr>
          <w:rFonts w:hint="eastAsia" w:ascii="宋体" w:hAnsi="宋体"/>
          <w:sz w:val="21"/>
          <w:szCs w:val="21"/>
          <w:highlight w:val="none"/>
        </w:rPr>
        <w:t>1、仪器安装调试完成后质保一年，期间免费维护。</w:t>
      </w:r>
    </w:p>
    <w:p w14:paraId="30CA085B">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2、中标人承诺的质保期起始时间为终验合格之日。</w:t>
      </w:r>
    </w:p>
    <w:p w14:paraId="47EAD20A">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 xml:space="preserve">3、所有产品质量必须符合国家有关规范和相关政策。所有设备及辅材必须是未使用过的新产品，质量优良、渠道正当，配置合理。 </w:t>
      </w:r>
    </w:p>
    <w:p w14:paraId="3772F7D0">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4、质保期出现的质量问题由中标人负责解决并承担所有费用。质保期后如需更换零部件，中标人应以优惠价提供。</w:t>
      </w:r>
    </w:p>
    <w:p w14:paraId="18D63E15">
      <w:pPr>
        <w:pStyle w:val="7"/>
        <w:spacing w:before="120" w:beforeLines="50" w:after="120" w:afterLines="50" w:line="360" w:lineRule="auto"/>
        <w:ind w:firstLine="602"/>
        <w:outlineLvl w:val="1"/>
        <w:rPr>
          <w:rFonts w:hint="eastAsia" w:ascii="宋体" w:hAnsi="宋体"/>
          <w:b/>
          <w:sz w:val="30"/>
          <w:szCs w:val="30"/>
          <w:highlight w:val="none"/>
        </w:rPr>
      </w:pPr>
      <w:r>
        <w:rPr>
          <w:rFonts w:hint="eastAsia" w:ascii="宋体" w:hAnsi="宋体"/>
          <w:b/>
          <w:sz w:val="30"/>
          <w:szCs w:val="30"/>
          <w:highlight w:val="none"/>
        </w:rPr>
        <w:t>第六条 权利保证</w:t>
      </w:r>
      <w:bookmarkEnd w:id="16"/>
    </w:p>
    <w:p w14:paraId="5EA169D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1.乙方保证对其出售的货物享有合法的权利。</w:t>
      </w:r>
    </w:p>
    <w:p w14:paraId="082DFA7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2.乙方保证对其出售的货物上不存在任何未曾向甲方透露的担保物权，如抵押权、质押权、留置权。</w:t>
      </w:r>
    </w:p>
    <w:p w14:paraId="5E91EE3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3.乙方保证对其出售的货物或其任何一部分没有侵犯第三方的专利权、版权、商标权或其他权利。</w:t>
      </w:r>
    </w:p>
    <w:p w14:paraId="2F5A7F29">
      <w:pPr>
        <w:pStyle w:val="7"/>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4.如甲方在使用该货物构成上述侵权的，则由乙方承担全部责任。</w:t>
      </w:r>
    </w:p>
    <w:p w14:paraId="7D8E2FBA">
      <w:pPr>
        <w:spacing w:line="360" w:lineRule="auto"/>
        <w:ind w:firstLine="420" w:firstLineChars="200"/>
        <w:rPr>
          <w:rFonts w:hint="eastAsia" w:ascii="宋体" w:hAnsi="宋体"/>
          <w:b/>
          <w:sz w:val="30"/>
          <w:szCs w:val="30"/>
          <w:highlight w:val="none"/>
        </w:rPr>
      </w:pPr>
      <w:r>
        <w:rPr>
          <w:rFonts w:hint="eastAsia" w:ascii="宋体" w:hAnsi="宋体"/>
          <w:color w:val="auto"/>
          <w:szCs w:val="21"/>
          <w:highlight w:val="none"/>
          <w:lang w:val="en-US" w:eastAsia="zh-CN"/>
        </w:rPr>
        <w:t>5</w:t>
      </w:r>
      <w:r>
        <w:rPr>
          <w:rFonts w:ascii="宋体" w:hAnsi="宋体"/>
          <w:color w:val="auto"/>
          <w:szCs w:val="21"/>
          <w:highlight w:val="none"/>
          <w:lang w:eastAsia="zh-Hans"/>
        </w:rPr>
        <w:t>.</w:t>
      </w:r>
      <w:r>
        <w:rPr>
          <w:rFonts w:hint="eastAsia" w:ascii="宋体" w:hAnsi="宋体" w:cs="宋体"/>
          <w:color w:val="auto"/>
          <w:szCs w:val="21"/>
          <w:highlight w:val="none"/>
        </w:rPr>
        <w:t>售后服务包括设备的检修维护</w:t>
      </w:r>
      <w:r>
        <w:rPr>
          <w:rFonts w:hint="eastAsia" w:ascii="宋体" w:hAnsi="宋体"/>
          <w:color w:val="auto"/>
          <w:szCs w:val="21"/>
          <w:highlight w:val="none"/>
          <w:lang w:eastAsia="zh-Hans"/>
        </w:rPr>
        <w:t>、保障系统的正常运行、系统的使用指导和相关培训等。</w:t>
      </w:r>
    </w:p>
    <w:p w14:paraId="40285F1E">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17" w:name="_Toc13688"/>
      <w:r>
        <w:rPr>
          <w:rFonts w:hint="eastAsia" w:ascii="宋体" w:hAnsi="宋体"/>
          <w:b/>
          <w:sz w:val="30"/>
          <w:szCs w:val="30"/>
          <w:highlight w:val="none"/>
        </w:rPr>
        <w:t>第七条 包装要求与运输方式</w:t>
      </w:r>
      <w:bookmarkEnd w:id="17"/>
      <w:r>
        <w:rPr>
          <w:rFonts w:hint="eastAsia" w:ascii="宋体" w:hAnsi="宋体"/>
          <w:b/>
          <w:sz w:val="30"/>
          <w:szCs w:val="30"/>
          <w:highlight w:val="none"/>
        </w:rPr>
        <w:t xml:space="preserve">  </w:t>
      </w:r>
      <w:r>
        <w:rPr>
          <w:rFonts w:hint="eastAsia" w:ascii="宋体" w:hAnsi="宋体"/>
          <w:sz w:val="30"/>
          <w:szCs w:val="30"/>
          <w:highlight w:val="none"/>
        </w:rPr>
        <w:t xml:space="preserve"> </w:t>
      </w:r>
    </w:p>
    <w:p w14:paraId="66944791">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1.除合同另有规定外，乙方提供的全部货物均应按标准保护措施进行包装，该包装应适应于远距离运输、防潮、防震、防锈和防野蛮装卸，以确保货物安全运抵指定地点。</w:t>
      </w:r>
    </w:p>
    <w:p w14:paraId="2C2E114F">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2.每一包装单元应附详细的装箱单和质量合格证。</w:t>
      </w:r>
    </w:p>
    <w:p w14:paraId="6440A492">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3.货物（产品）运输方式：</w:t>
      </w:r>
      <w:r>
        <w:rPr>
          <w:rFonts w:hint="eastAsia" w:ascii="宋体" w:hAnsi="宋体"/>
          <w:sz w:val="21"/>
          <w:szCs w:val="21"/>
          <w:highlight w:val="none"/>
          <w:u w:val="single"/>
        </w:rPr>
        <w:t xml:space="preserve">             </w:t>
      </w:r>
      <w:r>
        <w:rPr>
          <w:rFonts w:hint="eastAsia" w:ascii="宋体" w:hAnsi="宋体"/>
          <w:sz w:val="21"/>
          <w:szCs w:val="21"/>
          <w:highlight w:val="none"/>
        </w:rPr>
        <w:t>。</w:t>
      </w:r>
    </w:p>
    <w:p w14:paraId="4C470360">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4.乙方负责货物（产品）运输，货物运输的合理损耗及计算方法</w:t>
      </w:r>
      <w:r>
        <w:rPr>
          <w:rFonts w:hint="eastAsia" w:ascii="宋体" w:hAnsi="宋体"/>
          <w:sz w:val="21"/>
          <w:szCs w:val="21"/>
          <w:highlight w:val="none"/>
          <w:u w:val="single"/>
        </w:rPr>
        <w:t xml:space="preserve">    </w:t>
      </w:r>
      <w:r>
        <w:rPr>
          <w:rFonts w:hint="eastAsia" w:ascii="宋体" w:hAnsi="宋体"/>
          <w:sz w:val="21"/>
          <w:szCs w:val="21"/>
          <w:highlight w:val="none"/>
        </w:rPr>
        <w:t>。</w:t>
      </w:r>
    </w:p>
    <w:p w14:paraId="0AE1798C">
      <w:pPr>
        <w:pStyle w:val="7"/>
        <w:spacing w:before="120" w:beforeLines="50" w:after="120" w:afterLines="50" w:line="360" w:lineRule="auto"/>
        <w:ind w:firstLine="349" w:firstLineChars="116"/>
        <w:outlineLvl w:val="1"/>
        <w:rPr>
          <w:rFonts w:hint="eastAsia" w:ascii="宋体" w:hAnsi="宋体"/>
          <w:sz w:val="30"/>
          <w:szCs w:val="30"/>
          <w:highlight w:val="none"/>
        </w:rPr>
      </w:pPr>
      <w:bookmarkStart w:id="18" w:name="_Toc32757"/>
      <w:r>
        <w:rPr>
          <w:rFonts w:hint="eastAsia" w:ascii="宋体" w:hAnsi="宋体"/>
          <w:b/>
          <w:sz w:val="30"/>
          <w:szCs w:val="30"/>
          <w:highlight w:val="none"/>
        </w:rPr>
        <w:t>第八条 货物验收</w:t>
      </w:r>
      <w:bookmarkEnd w:id="18"/>
    </w:p>
    <w:p w14:paraId="2D4EE6BD">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1.货物验收由甲方组织，乙方配合，并按下列程序进行：</w:t>
      </w:r>
    </w:p>
    <w:p w14:paraId="620A75A6">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1、项目验收分初验和终验: </w:t>
      </w:r>
    </w:p>
    <w:p w14:paraId="612D233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初验：货物到达交货地点后，由使用单位根据合同对货物（设备）的名称、品牌、规格、型号、产地、数量进行检查。 </w:t>
      </w:r>
    </w:p>
    <w:p w14:paraId="2D3A9F2E">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终验：所有货物(设备)安装、调试完毕，正常使用30个日历日后，由采购人进行终验（最终验收），合格后签发《终验合格单》。 </w:t>
      </w:r>
    </w:p>
    <w:p w14:paraId="4852021C">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验收不合格的中标单位，必须在接到通知后7个日历日内确保货物通过验收。如接到通知后7个日历日内验收仍不合格，采购人可提出索赔或取消其供货合同。采购人可以按照评审报告推荐的中标候选人名单排序，确定下一候选人为中标单位。</w:t>
      </w:r>
    </w:p>
    <w:p w14:paraId="2E257044">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 验收依据</w:t>
      </w:r>
      <w:r>
        <w:rPr>
          <w:rFonts w:hint="eastAsia" w:ascii="宋体" w:hAnsi="宋体"/>
          <w:sz w:val="21"/>
          <w:szCs w:val="21"/>
          <w:highlight w:val="none"/>
          <w:lang w:eastAsia="zh-CN"/>
        </w:rPr>
        <w:t>：</w:t>
      </w:r>
    </w:p>
    <w:p w14:paraId="6EA5A0A2">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合同文本及合同补充文件（条款）； </w:t>
      </w:r>
    </w:p>
    <w:p w14:paraId="119A1FE8">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产品的合法来源渠道证明文件、响应功能证明材料； </w:t>
      </w:r>
    </w:p>
    <w:p w14:paraId="36CF08C1">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招标文件； </w:t>
      </w:r>
    </w:p>
    <w:p w14:paraId="4B8C7D6E">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中标人的投标文件； </w:t>
      </w:r>
    </w:p>
    <w:p w14:paraId="240C8253">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货物清单； </w:t>
      </w:r>
    </w:p>
    <w:p w14:paraId="1E6B1341">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生产厂家的企业资质、货物的执行标准。</w:t>
      </w:r>
    </w:p>
    <w:p w14:paraId="5A27D7A7">
      <w:pPr>
        <w:pStyle w:val="7"/>
        <w:spacing w:before="120" w:beforeLines="50" w:after="120" w:afterLines="50" w:line="360" w:lineRule="auto"/>
        <w:ind w:firstLine="500" w:firstLineChars="166"/>
        <w:outlineLvl w:val="1"/>
        <w:rPr>
          <w:rFonts w:hint="eastAsia"/>
          <w:b/>
          <w:sz w:val="30"/>
          <w:szCs w:val="30"/>
          <w:highlight w:val="none"/>
        </w:rPr>
      </w:pPr>
      <w:bookmarkStart w:id="19" w:name="_Toc7056"/>
      <w:r>
        <w:rPr>
          <w:rFonts w:hint="eastAsia"/>
          <w:b/>
          <w:sz w:val="30"/>
          <w:szCs w:val="30"/>
          <w:highlight w:val="none"/>
        </w:rPr>
        <w:t>第九条 售后服务</w:t>
      </w:r>
      <w:bookmarkEnd w:id="19"/>
    </w:p>
    <w:p w14:paraId="3E8E930C">
      <w:pPr>
        <w:pStyle w:val="7"/>
        <w:spacing w:line="360" w:lineRule="auto"/>
        <w:ind w:firstLine="420"/>
        <w:rPr>
          <w:rFonts w:hint="eastAsia"/>
          <w:kern w:val="0"/>
          <w:sz w:val="21"/>
          <w:szCs w:val="21"/>
          <w:highlight w:val="none"/>
        </w:rPr>
      </w:pPr>
      <w:r>
        <w:rPr>
          <w:rFonts w:hint="eastAsia"/>
          <w:kern w:val="0"/>
          <w:sz w:val="21"/>
          <w:szCs w:val="21"/>
          <w:highlight w:val="none"/>
        </w:rPr>
        <w:t>乙方应按照国家有关法律法规和“三包”规定以及</w:t>
      </w:r>
      <w:r>
        <w:rPr>
          <w:rFonts w:hint="eastAsia"/>
          <w:kern w:val="0"/>
          <w:sz w:val="21"/>
          <w:szCs w:val="21"/>
          <w:highlight w:val="none"/>
          <w:lang w:val="en-US" w:eastAsia="zh-CN"/>
        </w:rPr>
        <w:t>招标</w:t>
      </w:r>
      <w:r>
        <w:rPr>
          <w:rFonts w:hint="eastAsia"/>
          <w:kern w:val="0"/>
          <w:sz w:val="21"/>
          <w:szCs w:val="21"/>
          <w:highlight w:val="none"/>
        </w:rPr>
        <w:t>文件要求和响应文件的“</w:t>
      </w:r>
      <w:r>
        <w:rPr>
          <w:rFonts w:hint="eastAsia"/>
          <w:kern w:val="0"/>
          <w:sz w:val="21"/>
          <w:szCs w:val="21"/>
          <w:highlight w:val="none"/>
          <w:lang w:val="en-US" w:eastAsia="zh-CN"/>
        </w:rPr>
        <w:t>售后服务</w:t>
      </w:r>
      <w:r>
        <w:rPr>
          <w:rFonts w:hint="eastAsia"/>
          <w:kern w:val="0"/>
          <w:sz w:val="21"/>
          <w:szCs w:val="21"/>
          <w:highlight w:val="none"/>
        </w:rPr>
        <w:t>”提供服务。</w:t>
      </w:r>
    </w:p>
    <w:p w14:paraId="0CF57458">
      <w:pPr>
        <w:pStyle w:val="7"/>
        <w:spacing w:before="120" w:beforeLines="50" w:after="120" w:afterLines="50" w:line="360" w:lineRule="auto"/>
        <w:ind w:firstLine="500" w:firstLineChars="166"/>
        <w:outlineLvl w:val="1"/>
        <w:rPr>
          <w:rFonts w:hint="eastAsia"/>
          <w:b/>
          <w:sz w:val="30"/>
          <w:szCs w:val="30"/>
          <w:highlight w:val="none"/>
        </w:rPr>
      </w:pPr>
      <w:bookmarkStart w:id="20" w:name="_Toc19392"/>
      <w:r>
        <w:rPr>
          <w:rFonts w:hint="eastAsia"/>
          <w:b/>
          <w:kern w:val="0"/>
          <w:sz w:val="30"/>
          <w:szCs w:val="30"/>
          <w:highlight w:val="none"/>
        </w:rPr>
        <w:t xml:space="preserve">第十条 </w:t>
      </w:r>
      <w:r>
        <w:rPr>
          <w:rFonts w:hint="eastAsia"/>
          <w:b/>
          <w:sz w:val="30"/>
          <w:szCs w:val="30"/>
          <w:highlight w:val="none"/>
        </w:rPr>
        <w:t>履约保证金</w:t>
      </w:r>
      <w:bookmarkEnd w:id="20"/>
    </w:p>
    <w:p w14:paraId="5565B95A">
      <w:pPr>
        <w:widowControl/>
        <w:spacing w:line="360" w:lineRule="auto"/>
        <w:ind w:firstLine="525" w:firstLineChars="250"/>
        <w:jc w:val="left"/>
        <w:rPr>
          <w:rFonts w:hint="eastAsia" w:ascii="宋体" w:hAnsi="宋体" w:eastAsia="宋体" w:cs="宋体"/>
          <w:color w:val="000000"/>
          <w:kern w:val="0"/>
          <w:szCs w:val="21"/>
          <w:highlight w:val="none"/>
          <w:lang w:eastAsia="zh-CN"/>
        </w:rPr>
      </w:pPr>
      <w:r>
        <w:rPr>
          <w:rFonts w:hint="eastAsia" w:ascii="宋体" w:hAnsi="宋体" w:cs="宋体"/>
          <w:color w:val="000000"/>
          <w:kern w:val="0"/>
          <w:szCs w:val="21"/>
          <w:highlight w:val="none"/>
        </w:rPr>
        <w:t>1.中标/成交供应商是否需要缴纳履约保证金：</w:t>
      </w:r>
      <w:r>
        <w:rPr>
          <w:rFonts w:hint="eastAsia" w:ascii="宋体" w:hAnsi="宋体" w:cs="宋体"/>
          <w:color w:val="000000"/>
          <w:kern w:val="0"/>
          <w:szCs w:val="21"/>
          <w:highlight w:val="none"/>
          <w:lang w:val="en-US" w:eastAsia="zh-CN"/>
        </w:rPr>
        <w:t>否</w:t>
      </w:r>
    </w:p>
    <w:p w14:paraId="7D311A46">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2.履约保证金的有效期为乙方承诺的货物（产品）质保期。</w:t>
      </w:r>
    </w:p>
    <w:p w14:paraId="559928D0">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3.如乙方未能履行合同规定的义务，甲方有权从履约保证金中取得补偿。</w:t>
      </w:r>
    </w:p>
    <w:p w14:paraId="4D343CDD">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货物（产品）质保期结束后，甲方财务部门接到甲方确认本合同货物质量与服务等约定事项已经履行完毕的正式书面文件后的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4B86B5C2">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21" w:name="_Toc5529"/>
      <w:r>
        <w:rPr>
          <w:rFonts w:hint="eastAsia" w:ascii="宋体" w:hAnsi="宋体"/>
          <w:b/>
          <w:sz w:val="30"/>
          <w:szCs w:val="30"/>
          <w:highlight w:val="none"/>
        </w:rPr>
        <w:t>第十一条 违约责任</w:t>
      </w:r>
      <w:bookmarkEnd w:id="21"/>
    </w:p>
    <w:p w14:paraId="6F074769">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1.甲方违约责任</w:t>
      </w:r>
    </w:p>
    <w:p w14:paraId="6B142124">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（1）甲方无正当理由拒收货物的，甲方应偿付合同总价</w:t>
      </w:r>
      <w:r>
        <w:rPr>
          <w:rFonts w:hint="eastAsia" w:ascii="宋体" w:hAnsi="宋体"/>
          <w:sz w:val="21"/>
          <w:szCs w:val="21"/>
          <w:highlight w:val="none"/>
          <w:u w:val="single"/>
        </w:rPr>
        <w:t xml:space="preserve"> </w:t>
      </w:r>
      <w:r>
        <w:rPr>
          <w:rFonts w:hint="eastAsia" w:ascii="宋体" w:hAnsi="宋体"/>
          <w:sz w:val="21"/>
          <w:szCs w:val="21"/>
          <w:highlight w:val="none"/>
        </w:rPr>
        <w:t xml:space="preserve"> %的违约金；</w:t>
      </w:r>
    </w:p>
    <w:p w14:paraId="449F2268">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（2）甲方逾期支付货款的，除应及时付足货款外，应向乙方每天支付欠款总额</w:t>
      </w:r>
      <w:r>
        <w:rPr>
          <w:rFonts w:hint="eastAsia" w:ascii="宋体" w:hAnsi="宋体"/>
          <w:sz w:val="21"/>
          <w:szCs w:val="21"/>
          <w:highlight w:val="none"/>
          <w:u w:val="single"/>
        </w:rPr>
        <w:t xml:space="preserve">  </w:t>
      </w:r>
      <w:r>
        <w:rPr>
          <w:rFonts w:hint="eastAsia" w:ascii="宋体" w:hAnsi="宋体"/>
          <w:sz w:val="21"/>
          <w:szCs w:val="21"/>
          <w:highlight w:val="none"/>
        </w:rPr>
        <w:t xml:space="preserve"> ‰的滞纳金；但累计滞纳金总额不超过欠款总额的</w:t>
      </w:r>
      <w:r>
        <w:rPr>
          <w:rFonts w:hint="eastAsia" w:ascii="宋体" w:hAnsi="宋体"/>
          <w:sz w:val="21"/>
          <w:szCs w:val="21"/>
          <w:highlight w:val="none"/>
          <w:u w:val="single"/>
        </w:rPr>
        <w:t xml:space="preserve">  </w:t>
      </w:r>
      <w:r>
        <w:rPr>
          <w:rFonts w:hint="eastAsia" w:ascii="宋体" w:hAnsi="宋体"/>
          <w:sz w:val="21"/>
          <w:szCs w:val="21"/>
          <w:highlight w:val="none"/>
        </w:rPr>
        <w:t>%。</w:t>
      </w:r>
    </w:p>
    <w:p w14:paraId="1218CE6F">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2.乙方违约责任</w:t>
      </w:r>
    </w:p>
    <w:p w14:paraId="57DAB9EB">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（1）如乙方不能交付货物，甲方有权扣留全部履约保证金；同时乙方应向甲方支付合同总价</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1C1E8997">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（2）乙方逾期交付货物的，每逾期1天，乙方向甲方偿付逾期交货部分货款总额的</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‰的滞纳金。如乙方逾期交货达___天，甲方有权解除合同，解除合同的通知自到达乙方时生效；</w:t>
      </w:r>
    </w:p>
    <w:p w14:paraId="6C9B4778">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（3）乙方所交付的货物品种、型号、规格不符合合同规定的，甲方有权拒收。甲方拒收的，乙方应向甲方支付货款总额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6BC36068">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highlight w:val="none"/>
          <w:u w:val="single"/>
        </w:rPr>
        <w:t xml:space="preserve">   </w:t>
      </w:r>
      <w:r>
        <w:rPr>
          <w:rFonts w:hint="eastAsia" w:ascii="宋体" w:hAnsi="宋体"/>
          <w:sz w:val="21"/>
          <w:szCs w:val="21"/>
          <w:highlight w:val="none"/>
        </w:rPr>
        <w:t>天内无条件更换合格的货物，如逾期不能更换合格的货物，甲方有权终止本合同，乙方应另向甲方支付货款总额的</w:t>
      </w:r>
      <w:r>
        <w:rPr>
          <w:rFonts w:hint="eastAsia" w:ascii="宋体" w:hAnsi="宋体"/>
          <w:sz w:val="21"/>
          <w:szCs w:val="21"/>
          <w:highlight w:val="none"/>
          <w:u w:val="single"/>
        </w:rPr>
        <w:t xml:space="preserve">   </w:t>
      </w:r>
      <w:r>
        <w:rPr>
          <w:rFonts w:hint="eastAsia" w:ascii="宋体" w:hAnsi="宋体"/>
          <w:sz w:val="21"/>
          <w:szCs w:val="21"/>
          <w:highlight w:val="none"/>
        </w:rPr>
        <w:t>%的违约金；</w:t>
      </w:r>
    </w:p>
    <w:p w14:paraId="05D9BD31">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3D854896">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（6）乙方未按本合同第十条的规定向甲方交付履约保证金的，应按应交付履约保证金的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%向甲方支付违约金，该违约金的支付不影响乙方应承担的其他违约责任；</w:t>
      </w:r>
    </w:p>
    <w:p w14:paraId="1AC8B936">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（7）乙方未按本合同的规定和“服务承诺”提供伴随服务/售后服务的，应按合同总价款的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%向甲方承担违约责任；</w:t>
      </w:r>
    </w:p>
    <w:p w14:paraId="3DDF6590">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618B4782">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（9）乙方偿付的违约金不足以弥补甲方损失的，还应按甲方损失尚未弥补的部分，支付赔偿金给甲方。</w:t>
      </w:r>
    </w:p>
    <w:p w14:paraId="625EB40E">
      <w:pPr>
        <w:pStyle w:val="7"/>
        <w:spacing w:line="360" w:lineRule="auto"/>
        <w:ind w:firstLine="420"/>
        <w:rPr>
          <w:rFonts w:hint="eastAsia" w:ascii="宋体" w:hAnsi="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10</w:t>
      </w:r>
      <w:r>
        <w:rPr>
          <w:rFonts w:hint="eastAsia" w:ascii="宋体" w:hAnsi="宋体"/>
          <w:sz w:val="21"/>
          <w:szCs w:val="21"/>
          <w:highlight w:val="none"/>
          <w:lang w:eastAsia="zh-CN"/>
        </w:rPr>
        <w:t>）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615D88B5">
      <w:pPr>
        <w:widowControl/>
        <w:spacing w:before="120" w:beforeLines="50" w:after="120" w:afterLines="50" w:line="360" w:lineRule="auto"/>
        <w:ind w:firstLine="452" w:firstLineChars="150"/>
        <w:jc w:val="left"/>
        <w:outlineLvl w:val="1"/>
        <w:rPr>
          <w:rFonts w:hint="eastAsia" w:ascii="宋体" w:hAnsi="宋体" w:cs="宋体"/>
          <w:color w:val="000000"/>
          <w:kern w:val="0"/>
          <w:sz w:val="30"/>
          <w:szCs w:val="30"/>
          <w:highlight w:val="none"/>
        </w:rPr>
      </w:pPr>
      <w:bookmarkStart w:id="22" w:name="_Toc16002"/>
      <w:r>
        <w:rPr>
          <w:rFonts w:hint="eastAsia" w:ascii="宋体" w:hAnsi="宋体"/>
          <w:b/>
          <w:sz w:val="30"/>
          <w:szCs w:val="30"/>
          <w:highlight w:val="none"/>
        </w:rPr>
        <w:t xml:space="preserve">第十二条 </w:t>
      </w:r>
      <w:r>
        <w:rPr>
          <w:rFonts w:hint="eastAsia" w:ascii="宋体" w:hAnsi="宋体" w:cs="宋体"/>
          <w:b/>
          <w:color w:val="000000"/>
          <w:kern w:val="0"/>
          <w:sz w:val="30"/>
          <w:szCs w:val="30"/>
          <w:highlight w:val="none"/>
        </w:rPr>
        <w:t>合同的变更和终止</w:t>
      </w:r>
      <w:bookmarkEnd w:id="22"/>
    </w:p>
    <w:p w14:paraId="4F9FE055">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0366D984">
      <w:pPr>
        <w:widowControl/>
        <w:spacing w:before="120" w:beforeLines="50" w:after="120" w:afterLines="50" w:line="360" w:lineRule="auto"/>
        <w:ind w:firstLine="452" w:firstLineChars="150"/>
        <w:jc w:val="left"/>
        <w:outlineLvl w:val="1"/>
        <w:rPr>
          <w:rFonts w:hint="eastAsia" w:ascii="宋体" w:hAnsi="宋体" w:cs="宋体"/>
          <w:b/>
          <w:color w:val="000000"/>
          <w:kern w:val="0"/>
          <w:sz w:val="30"/>
          <w:szCs w:val="30"/>
          <w:highlight w:val="none"/>
        </w:rPr>
      </w:pPr>
      <w:bookmarkStart w:id="23" w:name="_Toc12126"/>
      <w:r>
        <w:rPr>
          <w:rFonts w:hint="eastAsia" w:ascii="宋体" w:hAnsi="宋体" w:cs="宋体"/>
          <w:b/>
          <w:color w:val="000000"/>
          <w:kern w:val="0"/>
          <w:sz w:val="30"/>
          <w:szCs w:val="30"/>
          <w:highlight w:val="none"/>
        </w:rPr>
        <w:t>第十三条 争议的解决</w:t>
      </w:r>
      <w:bookmarkEnd w:id="23"/>
    </w:p>
    <w:p w14:paraId="7B4D5A6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1.因货物的质量问题发生争议，由质量技术监督部门或其指定的质量鉴定机构进行质量鉴定。货物符合标准的，鉴定费由甲方承担；货物不符合质量标准的，鉴定费由乙方承担。</w:t>
      </w:r>
    </w:p>
    <w:p w14:paraId="6162EF03">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2.因履行本合同引起的或与本合同有关的争议，甲、乙双方应首先通过友好协商解决，如果协商不成，则采取以下第_</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_种方式解决争议：</w:t>
      </w:r>
    </w:p>
    <w:p w14:paraId="7EE2347A">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6C40D0E0">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铜川市  </w:t>
      </w:r>
      <w:r>
        <w:rPr>
          <w:rFonts w:hint="eastAsia" w:ascii="宋体" w:hAnsi="宋体"/>
          <w:kern w:val="0"/>
          <w:sz w:val="21"/>
          <w:szCs w:val="21"/>
          <w:highlight w:val="none"/>
        </w:rPr>
        <w:t>仲裁委员会按其仲裁规则申请仲裁。</w:t>
      </w:r>
    </w:p>
    <w:p w14:paraId="5AD79499">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3.在仲裁期间，本合同应继续履行。</w:t>
      </w:r>
    </w:p>
    <w:p w14:paraId="5718AB9B">
      <w:pPr>
        <w:snapToGrid w:val="0"/>
        <w:spacing w:before="120" w:beforeLines="50" w:after="120" w:afterLines="50" w:line="360" w:lineRule="auto"/>
        <w:ind w:firstLine="602" w:firstLineChars="200"/>
        <w:textAlignment w:val="baseline"/>
        <w:outlineLvl w:val="1"/>
        <w:rPr>
          <w:rFonts w:hint="eastAsia" w:ascii="宋体" w:hAnsi="宋体"/>
          <w:b/>
          <w:sz w:val="30"/>
          <w:szCs w:val="30"/>
          <w:highlight w:val="none"/>
        </w:rPr>
      </w:pPr>
      <w:bookmarkStart w:id="24" w:name="_Toc23861"/>
      <w:r>
        <w:rPr>
          <w:rFonts w:hint="eastAsia" w:ascii="宋体" w:hAnsi="宋体"/>
          <w:b/>
          <w:sz w:val="30"/>
          <w:szCs w:val="30"/>
          <w:highlight w:val="none"/>
        </w:rPr>
        <w:t>第十四条</w:t>
      </w:r>
      <w:r>
        <w:rPr>
          <w:rFonts w:hint="eastAsia" w:ascii="宋体" w:hAnsi="宋体"/>
          <w:sz w:val="30"/>
          <w:szCs w:val="30"/>
          <w:highlight w:val="none"/>
        </w:rPr>
        <w:t xml:space="preserve"> </w:t>
      </w:r>
      <w:r>
        <w:rPr>
          <w:rFonts w:hint="eastAsia" w:ascii="宋体" w:hAnsi="宋体"/>
          <w:b/>
          <w:sz w:val="30"/>
          <w:szCs w:val="30"/>
          <w:highlight w:val="none"/>
        </w:rPr>
        <w:t>合同文件</w:t>
      </w:r>
      <w:bookmarkEnd w:id="24"/>
    </w:p>
    <w:p w14:paraId="7C251196">
      <w:pPr>
        <w:snapToGrid w:val="0"/>
        <w:spacing w:before="120" w:beforeLines="50" w:after="120" w:afterLines="50"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2756281F">
      <w:pPr>
        <w:snapToGrid w:val="0"/>
        <w:spacing w:line="360" w:lineRule="auto"/>
        <w:ind w:firstLine="539"/>
        <w:rPr>
          <w:rFonts w:hint="eastAsia" w:ascii="宋体" w:hAnsi="宋体"/>
          <w:szCs w:val="21"/>
          <w:highlight w:val="none"/>
        </w:rPr>
      </w:pPr>
      <w:r>
        <w:rPr>
          <w:rFonts w:hint="eastAsia" w:ascii="宋体" w:hAnsi="宋体"/>
          <w:szCs w:val="21"/>
          <w:highlight w:val="none"/>
        </w:rPr>
        <w:t>1.本合同书</w:t>
      </w:r>
    </w:p>
    <w:p w14:paraId="6276142F">
      <w:pPr>
        <w:snapToGrid w:val="0"/>
        <w:spacing w:line="360" w:lineRule="auto"/>
        <w:ind w:firstLine="539"/>
        <w:rPr>
          <w:rFonts w:hint="eastAsia" w:ascii="宋体" w:hAnsi="宋体"/>
          <w:szCs w:val="21"/>
          <w:highlight w:val="none"/>
        </w:rPr>
      </w:pPr>
      <w:r>
        <w:rPr>
          <w:rFonts w:hint="eastAsia" w:ascii="宋体" w:hAnsi="宋体"/>
          <w:szCs w:val="21"/>
          <w:highlight w:val="none"/>
        </w:rPr>
        <w:t>2.成交通知书</w:t>
      </w:r>
      <w:r>
        <w:rPr>
          <w:rFonts w:hint="eastAsia" w:ascii="宋体" w:hAnsi="宋体"/>
          <w:szCs w:val="21"/>
          <w:highlight w:val="none"/>
        </w:rPr>
        <w:tab/>
      </w:r>
    </w:p>
    <w:p w14:paraId="6AA6E592">
      <w:pPr>
        <w:snapToGrid w:val="0"/>
        <w:spacing w:line="360" w:lineRule="auto"/>
        <w:ind w:firstLine="539"/>
        <w:rPr>
          <w:rFonts w:hint="eastAsia" w:ascii="宋体" w:hAnsi="宋体"/>
          <w:szCs w:val="21"/>
          <w:highlight w:val="none"/>
        </w:rPr>
      </w:pPr>
      <w:r>
        <w:rPr>
          <w:rFonts w:hint="eastAsia" w:ascii="宋体" w:hAnsi="宋体"/>
          <w:szCs w:val="21"/>
          <w:highlight w:val="none"/>
        </w:rPr>
        <w:t>3.协议</w:t>
      </w:r>
    </w:p>
    <w:p w14:paraId="1785C31D">
      <w:pPr>
        <w:snapToGrid w:val="0"/>
        <w:spacing w:line="360" w:lineRule="auto"/>
        <w:ind w:firstLine="539"/>
        <w:rPr>
          <w:rFonts w:hint="eastAsia" w:ascii="宋体" w:hAnsi="宋体"/>
          <w:szCs w:val="21"/>
          <w:highlight w:val="none"/>
        </w:rPr>
      </w:pPr>
      <w:r>
        <w:rPr>
          <w:rFonts w:hint="eastAsia" w:ascii="宋体" w:hAnsi="宋体"/>
          <w:szCs w:val="21"/>
          <w:highlight w:val="none"/>
        </w:rPr>
        <w:t>4.</w:t>
      </w:r>
      <w:r>
        <w:rPr>
          <w:rFonts w:hint="eastAsia" w:ascii="宋体" w:hAnsi="宋体"/>
          <w:szCs w:val="21"/>
          <w:highlight w:val="none"/>
          <w:lang w:val="en-US" w:eastAsia="zh-CN"/>
        </w:rPr>
        <w:t>招标</w:t>
      </w:r>
      <w:r>
        <w:rPr>
          <w:rFonts w:hint="eastAsia" w:ascii="宋体" w:hAnsi="宋体"/>
          <w:szCs w:val="21"/>
          <w:highlight w:val="none"/>
        </w:rPr>
        <w:t>文件(含澄清或者修改文件)</w:t>
      </w:r>
    </w:p>
    <w:p w14:paraId="28820EB4">
      <w:pPr>
        <w:snapToGrid w:val="0"/>
        <w:spacing w:line="360" w:lineRule="auto"/>
        <w:ind w:firstLine="539"/>
        <w:rPr>
          <w:rFonts w:hint="eastAsia" w:ascii="宋体" w:hAnsi="宋体"/>
          <w:szCs w:val="21"/>
          <w:highlight w:val="none"/>
        </w:rPr>
      </w:pPr>
      <w:r>
        <w:rPr>
          <w:rFonts w:hint="eastAsia" w:ascii="宋体" w:hAnsi="宋体"/>
          <w:szCs w:val="21"/>
          <w:highlight w:val="none"/>
        </w:rPr>
        <w:t>5.响应文件</w:t>
      </w:r>
    </w:p>
    <w:p w14:paraId="5278CEA1">
      <w:pPr>
        <w:snapToGrid w:val="0"/>
        <w:spacing w:before="120" w:beforeLines="50" w:after="120" w:afterLines="50" w:line="360" w:lineRule="auto"/>
        <w:ind w:firstLine="452" w:firstLineChars="150"/>
        <w:outlineLvl w:val="1"/>
        <w:rPr>
          <w:rFonts w:hint="eastAsia"/>
          <w:b/>
          <w:kern w:val="0"/>
          <w:sz w:val="30"/>
          <w:szCs w:val="30"/>
          <w:highlight w:val="none"/>
        </w:rPr>
      </w:pPr>
      <w:bookmarkStart w:id="25" w:name="_Toc18656"/>
      <w:r>
        <w:rPr>
          <w:rFonts w:hint="eastAsia"/>
          <w:b/>
          <w:sz w:val="30"/>
          <w:szCs w:val="30"/>
          <w:highlight w:val="none"/>
        </w:rPr>
        <w:t xml:space="preserve">第十五条 </w:t>
      </w:r>
      <w:r>
        <w:rPr>
          <w:rFonts w:hint="eastAsia"/>
          <w:b/>
          <w:kern w:val="0"/>
          <w:sz w:val="30"/>
          <w:szCs w:val="30"/>
          <w:highlight w:val="none"/>
        </w:rPr>
        <w:t>合同生效及其他</w:t>
      </w:r>
      <w:bookmarkEnd w:id="25"/>
    </w:p>
    <w:p w14:paraId="4473A2A3">
      <w:pPr>
        <w:snapToGrid w:val="0"/>
        <w:spacing w:line="360" w:lineRule="auto"/>
        <w:ind w:firstLine="539"/>
        <w:rPr>
          <w:rFonts w:hint="eastAsia" w:ascii="宋体" w:hAnsi="宋体"/>
          <w:szCs w:val="21"/>
          <w:highlight w:val="none"/>
        </w:rPr>
      </w:pPr>
      <w:r>
        <w:rPr>
          <w:rFonts w:hint="eastAsia" w:ascii="宋体" w:hAnsi="宋体" w:cs="宋体"/>
          <w:color w:val="000000"/>
          <w:kern w:val="0"/>
          <w:szCs w:val="21"/>
          <w:highlight w:val="none"/>
        </w:rPr>
        <w:t>1.</w:t>
      </w:r>
      <w:r>
        <w:rPr>
          <w:rFonts w:hint="eastAsia" w:ascii="宋体" w:hAnsi="宋体"/>
          <w:szCs w:val="21"/>
          <w:highlight w:val="none"/>
        </w:rPr>
        <w:t>如有未尽事宜，由双方依法订立补充合同。</w:t>
      </w:r>
    </w:p>
    <w:p w14:paraId="2D794CA3">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2.本合同自签订之日起生效。</w:t>
      </w:r>
    </w:p>
    <w:p w14:paraId="1490CA61">
      <w:pPr>
        <w:snapToGrid w:val="0"/>
        <w:spacing w:line="360" w:lineRule="auto"/>
        <w:ind w:firstLine="539"/>
        <w:rPr>
          <w:rFonts w:hint="eastAsia" w:ascii="宋体" w:hAnsi="宋体"/>
          <w:szCs w:val="21"/>
          <w:highlight w:val="none"/>
        </w:rPr>
      </w:pPr>
      <w:r>
        <w:rPr>
          <w:rFonts w:hint="eastAsia" w:ascii="宋体" w:hAnsi="宋体"/>
          <w:kern w:val="0"/>
          <w:szCs w:val="21"/>
          <w:highlight w:val="none"/>
        </w:rPr>
        <w:t>3.本合同一式___份，具有同等法律效力，甲乙双方各执____份，___份报送政府采购监督管理部门备案，一份采购代理机构存档。</w:t>
      </w:r>
    </w:p>
    <w:p w14:paraId="709FC9A8">
      <w:pPr>
        <w:spacing w:line="360" w:lineRule="auto"/>
        <w:ind w:firstLine="420" w:firstLineChars="200"/>
        <w:rPr>
          <w:rFonts w:hint="eastAsia" w:ascii="宋体" w:hAnsi="宋体"/>
          <w:szCs w:val="21"/>
          <w:highlight w:val="none"/>
        </w:rPr>
      </w:pPr>
    </w:p>
    <w:p w14:paraId="19CF2BF5">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 xml:space="preserve">甲方：   （盖章）   </w:t>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 xml:space="preserve">   乙方：   （盖章）</w:t>
      </w:r>
    </w:p>
    <w:p w14:paraId="20C22CB9">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法定代表人/委托代理人：            法定代表人/委托代理人：</w:t>
      </w:r>
    </w:p>
    <w:p w14:paraId="76A1C0E5">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地    址：                         地    址：</w:t>
      </w:r>
    </w:p>
    <w:p w14:paraId="3F07AE10">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开户银行：                         开户银行：</w:t>
      </w:r>
    </w:p>
    <w:p w14:paraId="6644CBA7">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账    号：                         账    号：</w:t>
      </w:r>
    </w:p>
    <w:p w14:paraId="724991FF">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电    话：                         电    话：</w:t>
      </w:r>
    </w:p>
    <w:p w14:paraId="752BAC6B">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传    真：                         传    真：</w:t>
      </w:r>
    </w:p>
    <w:p w14:paraId="396D7F03">
      <w:pPr>
        <w:spacing w:line="240" w:lineRule="auto"/>
        <w:ind w:firstLine="420" w:firstLineChars="200"/>
        <w:rPr>
          <w:rFonts w:hint="eastAsia"/>
          <w:sz w:val="24"/>
          <w:highlight w:val="none"/>
        </w:rPr>
      </w:pPr>
      <w:r>
        <w:rPr>
          <w:rFonts w:hint="eastAsia" w:ascii="宋体" w:hAnsi="宋体"/>
          <w:szCs w:val="21"/>
          <w:highlight w:val="none"/>
        </w:rPr>
        <w:t>签约日期：    年  月  日           签约日期：</w:t>
      </w:r>
      <w:r>
        <w:rPr>
          <w:rFonts w:hint="eastAsia" w:ascii="宋体" w:hAnsi="宋体"/>
          <w:color w:val="000000"/>
          <w:szCs w:val="21"/>
          <w:highlight w:val="none"/>
        </w:rPr>
        <w:t xml:space="preserve">    </w:t>
      </w:r>
      <w:r>
        <w:rPr>
          <w:rFonts w:hint="eastAsia" w:ascii="宋体" w:hAnsi="宋体"/>
          <w:szCs w:val="21"/>
          <w:highlight w:val="none"/>
        </w:rPr>
        <w:t xml:space="preserve">年  月  </w:t>
      </w:r>
      <w:r>
        <w:rPr>
          <w:rFonts w:hint="eastAsia" w:ascii="宋体" w:hAnsi="宋体"/>
          <w:color w:val="000000"/>
          <w:szCs w:val="21"/>
          <w:highlight w:val="none"/>
        </w:rPr>
        <w:t>日</w:t>
      </w:r>
    </w:p>
    <w:p w14:paraId="333E4836">
      <w:pPr>
        <w:spacing w:line="240" w:lineRule="auto"/>
        <w:ind w:firstLine="480" w:firstLineChars="200"/>
        <w:rPr>
          <w:rFonts w:hint="eastAsia"/>
          <w:sz w:val="24"/>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01357"/>
    <w:multiLevelType w:val="singleLevel"/>
    <w:tmpl w:val="09101357"/>
    <w:lvl w:ilvl="0" w:tentative="0">
      <w:start w:val="1"/>
      <w:numFmt w:val="decimal"/>
      <w:suff w:val="nothing"/>
      <w:lvlText w:val="（%1）"/>
      <w:lvlJc w:val="left"/>
      <w:pPr>
        <w:ind w:left="105" w:leftChars="0" w:firstLine="0" w:firstLineChars="0"/>
      </w:pPr>
    </w:lvl>
  </w:abstractNum>
  <w:abstractNum w:abstractNumId="1">
    <w:nsid w:val="11A8890C"/>
    <w:multiLevelType w:val="singleLevel"/>
    <w:tmpl w:val="11A8890C"/>
    <w:lvl w:ilvl="0" w:tentative="0">
      <w:start w:val="1"/>
      <w:numFmt w:val="decimal"/>
      <w:lvlText w:val="%1."/>
      <w:lvlJc w:val="left"/>
      <w:pPr>
        <w:tabs>
          <w:tab w:val="left" w:pos="312"/>
        </w:tabs>
      </w:pPr>
    </w:lvl>
  </w:abstractNum>
  <w:abstractNum w:abstractNumId="2">
    <w:nsid w:val="7344BA57"/>
    <w:multiLevelType w:val="singleLevel"/>
    <w:tmpl w:val="7344BA57"/>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DI2OWE4ZjBhZTdkNWY5MTg4N2YzYmRhZmY3YTAifQ=="/>
  </w:docVars>
  <w:rsids>
    <w:rsidRoot w:val="00000000"/>
    <w:rsid w:val="08FB6084"/>
    <w:rsid w:val="09B55C05"/>
    <w:rsid w:val="0D1B67B5"/>
    <w:rsid w:val="105B7C2F"/>
    <w:rsid w:val="296F294F"/>
    <w:rsid w:val="37602C6E"/>
    <w:rsid w:val="490C343D"/>
    <w:rsid w:val="530B5EA3"/>
    <w:rsid w:val="5DF72F94"/>
    <w:rsid w:val="69324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4">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3222</Words>
  <Characters>3287</Characters>
  <Lines>0</Lines>
  <Paragraphs>0</Paragraphs>
  <TotalTime>35</TotalTime>
  <ScaleCrop>false</ScaleCrop>
  <LinksUpToDate>false</LinksUpToDate>
  <CharactersWithSpaces>3643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2023-10-30T06:16:00Z</dcterms:created>
  <dc:creator>Administrator</dc:creator>
  <cp:lastModifiedBy>o麦o麦蹦擦擦，朵朵奇葩跳恰恰i</cp:lastModifiedBy>
  <dcterms:modified xsi:type="dcterms:W3CDTF">2025-04-22T12:29:26Z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B1125048C5A14115A62BBCCF903D1EF8_13</vt:lpwstr>
  </property>
  <property fmtid="{D5CDD505-2E9C-101B-9397-08002B2CF9AE}" pid="4" name="KSOTemplateDocerSaveRecord">
    <vt:lpwstr>eyJoZGlkIjoiNTM5Nzg2YmYyNTY5MzJhZTJkODc4YjNmZjdjOTE0MWEiLCJ1c2VySWQiOiIyMDA4NzM4MDkifQ==</vt:lpwstr>
  </property>
</Properties>
</file>