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版本号：JTZB2025-01320250527001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铜川市耀州区全民所有自然资源资产清查工作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JTZB2025-013</w:t>
      </w:r>
      <w:r>
        <w:br/>
      </w:r>
      <w:r>
        <w:br/>
      </w:r>
      <w:r>
        <w:br/>
      </w:r>
    </w:p>
    <w:p>
      <w:pPr>
        <w:pStyle w:val="null3"/>
        <w:jc w:val="center"/>
        <w:outlineLvl w:val="2"/>
      </w:pPr>
      <w:r>
        <w:rPr>
          <w:rFonts w:ascii="仿宋_GB2312" w:hAnsi="仿宋_GB2312" w:cs="仿宋_GB2312" w:eastAsia="仿宋_GB2312"/>
          <w:sz w:val="28"/>
          <w:b/>
        </w:rPr>
        <w:t>铜川市自然资源局耀州分局</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铜川市自然资源局耀州分局</w:t>
      </w:r>
      <w:r>
        <w:rPr>
          <w:rFonts w:ascii="仿宋_GB2312" w:hAnsi="仿宋_GB2312" w:cs="仿宋_GB2312" w:eastAsia="仿宋_GB2312"/>
        </w:rPr>
        <w:t>委托，拟对</w:t>
      </w:r>
      <w:r>
        <w:rPr>
          <w:rFonts w:ascii="仿宋_GB2312" w:hAnsi="仿宋_GB2312" w:cs="仿宋_GB2312" w:eastAsia="仿宋_GB2312"/>
        </w:rPr>
        <w:t>铜川市耀州区全民所有自然资源资产清查工作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铜川市耀州区全民所有自然资源资产清查工作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本次资产清查工作：范围包括全民所有土地、矿产、森林、草 原、湿地、水等6类自然资源资产，主要任务为查清实物量，更新和完善资产清查价格体系、核算价值量，理清使用权状况，形成实物量、价值量、产权等资产“一张图”。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采购包1（铜川市耀州区全民所有自然资源资产清查工作）：属于专门面向小微企业采购。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7、资质证书：供应商须具有行政主管部门颁发的测绘乙级及以上资质或省级自然资源行政主管部门备案的土地估价机构证明。</w:t>
      </w:r>
    </w:p>
    <w:p>
      <w:pPr>
        <w:pStyle w:val="null3"/>
      </w:pPr>
      <w:r>
        <w:rPr>
          <w:rFonts w:ascii="仿宋_GB2312" w:hAnsi="仿宋_GB2312" w:cs="仿宋_GB2312" w:eastAsia="仿宋_GB2312"/>
        </w:rPr>
        <w:t>8、拟派项目负责人专业技术及相关要求：供应商拟派项目负责人需具备相关专业中级及以上技术职称，且为本单位就职人员，需提供2025年连续3个月缴纳社保证明;</w:t>
      </w:r>
    </w:p>
    <w:p>
      <w:pPr>
        <w:pStyle w:val="null3"/>
      </w:pPr>
      <w:r>
        <w:rPr>
          <w:rFonts w:ascii="仿宋_GB2312" w:hAnsi="仿宋_GB2312" w:cs="仿宋_GB2312" w:eastAsia="仿宋_GB2312"/>
        </w:rPr>
        <w:t>9、企业证明：供应商应具备良好的商业信誉，提供参加政府采购活动前3年内在经营活动中没有重大违法记录的书面声明（原件加盖供应商公章）。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10、信用中国：未在“信用中国”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11、控股管理关系：单位负责人为同一人或者存在直接控股、管理关系的不同投标人，不得参加同一合同项下的政府采购活动（提供承诺书）。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12、本项目不接受联合体投标：本项目不接受联合体投标（提供书面声明材料）。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铜川市自然资源局耀州分局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铜川市自然资源局耀州分局经办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18609198260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铜川市新区正大路正大办公楼4楼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铜川市自然资源局耀州分局</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铜川市自然资源局耀州分局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铜川市自然资源局耀州分局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联系人：梁赓</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本次资产清查工作：范围包括全民所有土地、矿产、森林、草 原、湿地、水等6类自然资源资产，主要任务为查清实物量，更新和完善资产清查价格体系、核算价值量，理清使用权状况，形成实物量、价值量、产权等资产“一张图”。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80"/>
              <w:jc w:val="both"/>
            </w:pPr>
            <w:r>
              <w:rPr>
                <w:rFonts w:ascii="仿宋_GB2312" w:hAnsi="仿宋_GB2312" w:cs="仿宋_GB2312" w:eastAsia="仿宋_GB2312"/>
              </w:rPr>
              <w:t>本次资产清查</w:t>
            </w:r>
            <w:r>
              <w:rPr>
                <w:rFonts w:ascii="仿宋_GB2312" w:hAnsi="仿宋_GB2312" w:cs="仿宋_GB2312" w:eastAsia="仿宋_GB2312"/>
              </w:rPr>
              <w:t>工作：范围</w:t>
            </w:r>
            <w:r>
              <w:rPr>
                <w:rFonts w:ascii="仿宋_GB2312" w:hAnsi="仿宋_GB2312" w:cs="仿宋_GB2312" w:eastAsia="仿宋_GB2312"/>
              </w:rPr>
              <w:t>包括全民所有土地、矿产、森林、草</w:t>
            </w:r>
            <w:r>
              <w:rPr>
                <w:rFonts w:ascii="仿宋_GB2312" w:hAnsi="仿宋_GB2312" w:cs="仿宋_GB2312" w:eastAsia="仿宋_GB2312"/>
              </w:rPr>
              <w:t>原、湿地、水等</w:t>
            </w:r>
            <w:r>
              <w:rPr>
                <w:rFonts w:ascii="仿宋_GB2312" w:hAnsi="仿宋_GB2312" w:cs="仿宋_GB2312" w:eastAsia="仿宋_GB2312"/>
              </w:rPr>
              <w:t>6类自然资源资产</w:t>
            </w:r>
            <w:r>
              <w:rPr>
                <w:rFonts w:ascii="仿宋_GB2312" w:hAnsi="仿宋_GB2312" w:cs="仿宋_GB2312" w:eastAsia="仿宋_GB2312"/>
              </w:rPr>
              <w:t>，</w:t>
            </w:r>
            <w:r>
              <w:rPr>
                <w:rFonts w:ascii="仿宋_GB2312" w:hAnsi="仿宋_GB2312" w:cs="仿宋_GB2312" w:eastAsia="仿宋_GB2312"/>
              </w:rPr>
              <w:t>主要任务为查清实物量，更新和完善资产清查价格体系、核算价值量，理清使用权状况，形成实物量、价值量、产权等资产</w:t>
            </w:r>
            <w:r>
              <w:rPr>
                <w:rFonts w:ascii="仿宋_GB2312" w:hAnsi="仿宋_GB2312" w:cs="仿宋_GB2312" w:eastAsia="仿宋_GB2312"/>
              </w:rPr>
              <w:t>“一张图”。</w:t>
            </w:r>
          </w:p>
          <w:p>
            <w:pPr>
              <w:pStyle w:val="null3"/>
              <w:jc w:val="both"/>
            </w:pPr>
            <w:r>
              <w:rPr>
                <w:rFonts w:ascii="仿宋_GB2312" w:hAnsi="仿宋_GB2312" w:cs="仿宋_GB2312" w:eastAsia="仿宋_GB2312"/>
              </w:rPr>
              <w:t>二、工作依据</w:t>
            </w:r>
          </w:p>
          <w:p>
            <w:pPr>
              <w:pStyle w:val="null3"/>
              <w:ind w:firstLine="480"/>
              <w:jc w:val="both"/>
            </w:pPr>
            <w:r>
              <w:rPr>
                <w:rFonts w:ascii="仿宋_GB2312" w:hAnsi="仿宋_GB2312" w:cs="仿宋_GB2312" w:eastAsia="仿宋_GB2312"/>
              </w:rPr>
              <w:t>《自然资源部关于全面开展全民所有自然资源资产清查工作的通知》</w:t>
            </w:r>
            <w:r>
              <w:rPr>
                <w:rFonts w:ascii="仿宋_GB2312" w:hAnsi="仿宋_GB2312" w:cs="仿宋_GB2312" w:eastAsia="仿宋_GB2312"/>
              </w:rPr>
              <w:t>(自然资发〔2024〕127号)</w:t>
            </w:r>
          </w:p>
          <w:p>
            <w:pPr>
              <w:pStyle w:val="null3"/>
              <w:ind w:firstLine="480"/>
              <w:jc w:val="both"/>
            </w:pPr>
            <w:r>
              <w:rPr>
                <w:rFonts w:ascii="仿宋_GB2312" w:hAnsi="仿宋_GB2312" w:cs="仿宋_GB2312" w:eastAsia="仿宋_GB2312"/>
              </w:rPr>
              <w:t>《关于印发陕西省全民所有自然资源资产清查实施方案的通知》</w:t>
            </w:r>
            <w:r>
              <w:rPr>
                <w:rFonts w:ascii="仿宋_GB2312" w:hAnsi="仿宋_GB2312" w:cs="仿宋_GB2312" w:eastAsia="仿宋_GB2312"/>
              </w:rPr>
              <w:t>(陕自然资发〔2024〕1247号)</w:t>
            </w:r>
          </w:p>
          <w:p>
            <w:pPr>
              <w:pStyle w:val="null3"/>
              <w:ind w:firstLine="480"/>
              <w:jc w:val="both"/>
            </w:pPr>
            <w:r>
              <w:rPr>
                <w:rFonts w:ascii="仿宋_GB2312" w:hAnsi="仿宋_GB2312" w:cs="仿宋_GB2312" w:eastAsia="仿宋_GB2312"/>
              </w:rPr>
              <w:t>《铜川市自然资源局转发陕西省全民所有自然资源资产清查实施方案的通知》铜自然资办发〔</w:t>
            </w:r>
            <w:r>
              <w:rPr>
                <w:rFonts w:ascii="仿宋_GB2312" w:hAnsi="仿宋_GB2312" w:cs="仿宋_GB2312" w:eastAsia="仿宋_GB2312"/>
              </w:rPr>
              <w:t>2024〕147号</w:t>
            </w:r>
          </w:p>
          <w:p>
            <w:pPr>
              <w:pStyle w:val="null3"/>
              <w:ind w:firstLine="480"/>
              <w:jc w:val="both"/>
            </w:pPr>
            <w:r>
              <w:rPr>
                <w:rFonts w:ascii="仿宋_GB2312" w:hAnsi="仿宋_GB2312" w:cs="仿宋_GB2312" w:eastAsia="仿宋_GB2312"/>
              </w:rPr>
              <w:t>《全民所有自然资源资产清查技术指南》</w:t>
            </w:r>
          </w:p>
          <w:p>
            <w:pPr>
              <w:pStyle w:val="null3"/>
              <w:jc w:val="both"/>
            </w:pPr>
            <w:r>
              <w:rPr>
                <w:rFonts w:ascii="仿宋_GB2312" w:hAnsi="仿宋_GB2312" w:cs="仿宋_GB2312" w:eastAsia="仿宋_GB2312"/>
              </w:rPr>
              <w:t>三、技术要求</w:t>
            </w:r>
          </w:p>
          <w:p>
            <w:pPr>
              <w:pStyle w:val="null3"/>
              <w:ind w:firstLine="480"/>
              <w:jc w:val="both"/>
            </w:pPr>
            <w:r>
              <w:rPr>
                <w:rFonts w:ascii="仿宋_GB2312" w:hAnsi="仿宋_GB2312" w:cs="仿宋_GB2312" w:eastAsia="仿宋_GB2312"/>
              </w:rPr>
              <w:t>满足《全民所有自然资源资产清查技术指南》相关要求。</w:t>
            </w:r>
          </w:p>
          <w:p>
            <w:pPr>
              <w:pStyle w:val="null3"/>
              <w:jc w:val="both"/>
            </w:pPr>
            <w:r>
              <w:rPr>
                <w:rFonts w:ascii="仿宋_GB2312" w:hAnsi="仿宋_GB2312" w:cs="仿宋_GB2312" w:eastAsia="仿宋_GB2312"/>
              </w:rPr>
              <w:t>四、工作任务</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采集资产清查价格体系建设和更新所需的基础资料，</w:t>
            </w:r>
            <w:r>
              <w:rPr>
                <w:rFonts w:ascii="仿宋_GB2312" w:hAnsi="仿宋_GB2312" w:cs="仿宋_GB2312" w:eastAsia="仿宋_GB2312"/>
              </w:rPr>
              <w:t>更新本行政区建设用地等资产清查价格。</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开展本行政区内全民所有土地、森林、草原、湿地资源资产以及县级管理的矿产资源资产清查。结合逐级下发的</w:t>
            </w:r>
            <w:r>
              <w:rPr>
                <w:rFonts w:ascii="仿宋_GB2312" w:hAnsi="仿宋_GB2312" w:cs="仿宋_GB2312" w:eastAsia="仿宋_GB2312"/>
              </w:rPr>
              <w:t>各类资源资产清查结果，查清本行政区内各类全民所有自然资源资产底数，形成实物量图层和价值量图层。</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重点理清本行政区内国有建设用地和县级管理的矿产资源资产使用权状况，结合逐级下发的资产清查结果，梳理</w:t>
            </w:r>
            <w:r>
              <w:rPr>
                <w:rFonts w:ascii="仿宋_GB2312" w:hAnsi="仿宋_GB2312" w:cs="仿宋_GB2312" w:eastAsia="仿宋_GB2312"/>
              </w:rPr>
              <w:t>本行政区内国有建设用地、矿产资源使用权状况，形成产权</w:t>
            </w:r>
            <w:r>
              <w:rPr>
                <w:rFonts w:ascii="仿宋_GB2312" w:hAnsi="仿宋_GB2312" w:cs="仿宋_GB2312" w:eastAsia="仿宋_GB2312"/>
              </w:rPr>
              <w:t>图层。根据实际情况，开展其他类型国有自然资源资产的使用权清查。</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开展县级管理的未确定使用权人国有建设用地实物量清查、价值量核算，重点查清储备土地有关情况。汇总市级下发的未确定使用权人国有建设用地清查结果，形成实物量图层和价值量图层。</w:t>
            </w:r>
          </w:p>
          <w:p>
            <w:pPr>
              <w:pStyle w:val="null3"/>
              <w:ind w:firstLine="480"/>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对资产清查成果进行自检，形成资产清查成果数据库。</w:t>
            </w:r>
          </w:p>
          <w:p>
            <w:pPr>
              <w:pStyle w:val="null3"/>
              <w:jc w:val="both"/>
            </w:pPr>
            <w:r>
              <w:rPr>
                <w:rFonts w:ascii="仿宋_GB2312" w:hAnsi="仿宋_GB2312" w:cs="仿宋_GB2312" w:eastAsia="仿宋_GB2312"/>
              </w:rPr>
              <w:t>五、提交主要成果</w:t>
            </w:r>
          </w:p>
          <w:p>
            <w:pPr>
              <w:pStyle w:val="null3"/>
              <w:ind w:firstLine="480"/>
              <w:jc w:val="both"/>
            </w:pPr>
            <w:r>
              <w:rPr>
                <w:rFonts w:ascii="仿宋_GB2312" w:hAnsi="仿宋_GB2312" w:cs="仿宋_GB2312" w:eastAsia="仿宋_GB2312"/>
              </w:rPr>
              <w:t>按照国家统一标准对资产清查数据进行汇总和质检，质检合格后建立资产清查数据库包括价格信号数据库、</w:t>
            </w:r>
            <w:r>
              <w:rPr>
                <w:rFonts w:ascii="仿宋_GB2312" w:hAnsi="仿宋_GB2312" w:cs="仿宋_GB2312" w:eastAsia="仿宋_GB2312"/>
              </w:rPr>
              <w:t>价格体系成果数据库和资产清查成果数据库等。</w:t>
            </w:r>
          </w:p>
          <w:p>
            <w:pPr>
              <w:pStyle w:val="null3"/>
              <w:ind w:firstLine="480"/>
              <w:jc w:val="both"/>
            </w:pPr>
            <w:r>
              <w:rPr>
                <w:rFonts w:ascii="仿宋_GB2312" w:hAnsi="仿宋_GB2312" w:cs="仿宋_GB2312" w:eastAsia="仿宋_GB2312"/>
              </w:rPr>
              <w:t>成果图集制作与报告编写</w:t>
            </w:r>
            <w:r>
              <w:rPr>
                <w:rFonts w:ascii="仿宋_GB2312" w:hAnsi="仿宋_GB2312" w:cs="仿宋_GB2312" w:eastAsia="仿宋_GB2312"/>
              </w:rPr>
              <w:t>:汇总全民所有资源资产清查数据，全面研究分析清查成果，编制全民所有资源资产清查报告及专题报告，编制全民所有资源资产清查成果专题图(集)，包括地图设计，数据处理，符号化，要素综合取舍，图面关系处理，绘制图例，图廓装饰，转换印前数据格式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供应商根据文件要求自主填写，要有能保证合同正常履行所需的从业人员。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乙方先成所有外业调査工作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乙方提交数据成果道过省部級验收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正式向甲方提交成果资料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供应商须具有行政主管部门颁发的测绘乙级及以上资质或省级自然资源行政主管部门备案的土地估价机构证明。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拟派项目负责人专业技术及相关要求</w:t>
            </w:r>
          </w:p>
        </w:tc>
        <w:tc>
          <w:tcPr>
            <w:tcW w:type="dxa" w:w="3322"/>
          </w:tcPr>
          <w:p>
            <w:pPr>
              <w:pStyle w:val="null3"/>
            </w:pPr>
            <w:r>
              <w:rPr>
                <w:rFonts w:ascii="仿宋_GB2312" w:hAnsi="仿宋_GB2312" w:cs="仿宋_GB2312" w:eastAsia="仿宋_GB2312"/>
              </w:rPr>
              <w:t>供应商拟派项目负责人需具备相关专业中级及以上技术职称，且为本单位就职人员，需提供2025年连续3个月缴纳社保证明;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招标响应文件的签署盖章</w:t>
            </w:r>
          </w:p>
        </w:tc>
        <w:tc>
          <w:tcPr>
            <w:tcW w:type="dxa" w:w="3322"/>
          </w:tcPr>
          <w:p>
            <w:pPr>
              <w:pStyle w:val="null3"/>
            </w:pPr>
            <w:r>
              <w:rPr>
                <w:rFonts w:ascii="仿宋_GB2312" w:hAnsi="仿宋_GB2312" w:cs="仿宋_GB2312" w:eastAsia="仿宋_GB2312"/>
              </w:rPr>
              <w:t>招标响应文件上要求法定代表人或被授权人的签字、盖章的应签字盖章齐全。</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招标响应文件格式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招标响应文件内容</w:t>
            </w:r>
          </w:p>
        </w:tc>
        <w:tc>
          <w:tcPr>
            <w:tcW w:type="dxa" w:w="3322"/>
          </w:tcPr>
          <w:p>
            <w:pPr>
              <w:pStyle w:val="null3"/>
            </w:pPr>
            <w:r>
              <w:rPr>
                <w:rFonts w:ascii="仿宋_GB2312" w:hAnsi="仿宋_GB2312" w:cs="仿宋_GB2312" w:eastAsia="仿宋_GB2312"/>
              </w:rPr>
              <w:t>招标响应文件内容齐全、无遗漏。</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解读全面，掌握项目相关情况，贴近项目实际需求，能较好地履约计6.1-9分；解读基本准确，了解项目相关情况，能满足项目实际需求，保证履约的计3.1-6分；解读不准确，不利于项目履约计0.1-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工作背景目的及内容</w:t>
            </w:r>
          </w:p>
        </w:tc>
        <w:tc>
          <w:tcPr>
            <w:tcW w:type="dxa" w:w="2492"/>
          </w:tcPr>
          <w:p>
            <w:pPr>
              <w:pStyle w:val="null3"/>
            </w:pPr>
            <w:r>
              <w:rPr>
                <w:rFonts w:ascii="仿宋_GB2312" w:hAnsi="仿宋_GB2312" w:cs="仿宋_GB2312" w:eastAsia="仿宋_GB2312"/>
              </w:rPr>
              <w:t>对本项目的工作背景目的及内容描述清楚明确详实的计5.1-8分；对本项目的工作背景目的及内容基本描述清楚的计3.1-5分；对本项目的工作背景目的及内容描述不准确的计0.1-3分；未提供不计分。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6.1-8分；项目实施的技术路线基本清晰全面，方法可行计3.1-6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流程清浙、方法得当、可行性强，完全满足采购人的要求计5.1-8分；流程基本全面，满足采购人要求计2.1-5分；技术方法及流程不完善，不利于项目实施的计0.1-2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结合本项目要求，阐述服务时效及进度的保障措施，时间进度安排合理、可行，完全满足采购要求计4.1-7分；措施基本合理，满足项目需求计2.1-4分；措施简单，不利于项目实施计0.1-2分；未提供不计分。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5.1-8分；设施设备满足项目需求，保障措施基本合理计3.1-5分；配有设施设备，但保障措施简单、不利于项目实施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预期成果分类合理、内容齐全、成果描述具体详实的计4.1-6分；预期成果分类基本合理、内容基本齐全，并对成果进行相关描述的计2.1-4分；预期成果分类不合理、内容缺失的计0.1-2分；未提供不计分。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3.1-4分；提出的意见建议基本有益于本项目在技术、质量、进度或管理等方面进行改进的计1.1-3分；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供应商提供2022年6月1日至今(以合同签订日期为准，提供合同复印件或扫描件加盖公章)已完成的类似项目业绩，每提供1份得2.5分，最高计5分。未提供的不得分。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项目组织机构及人员配置</w:t>
            </w:r>
          </w:p>
        </w:tc>
        <w:tc>
          <w:tcPr>
            <w:tcW w:type="dxa" w:w="2492"/>
          </w:tcPr>
          <w:p>
            <w:pPr>
              <w:pStyle w:val="null3"/>
            </w:pPr>
            <w:r>
              <w:rPr>
                <w:rFonts w:ascii="仿宋_GB2312" w:hAnsi="仿宋_GB2312" w:cs="仿宋_GB2312" w:eastAsia="仿宋_GB2312"/>
              </w:rPr>
              <w:t>本项目拟投入人员(含技术负责人)的工作经验及组织架构是否满足项目需求。架构合理，人员配置齐全、岗位分配合理、团队人员经验丰富，完全满足项目需求计2.1-4分；架构及人员配置基本合理，满足项目需求计1.1-2分；人员配置欠缺、不利于项目实施的计0.1-1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拟派技术负责人具有土地估价师或相关专业高级工程师职称计2分，不满足不得分;拟投入本项目的其他人员（除技术负责人以外）中具有土地估价师或相关专业中级工程师职称的，每提供1个计0.5分，最多得3分。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2.1-4分；承诺及措施科学合理，基本满足项目需求计0.1-2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2.1-4分；有保密措施、承诺满足项目需求计0.1-2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重点、难点及实施方案分析</w:t>
            </w:r>
          </w:p>
        </w:tc>
        <w:tc>
          <w:tcPr>
            <w:tcW w:type="dxa" w:w="2492"/>
          </w:tcPr>
          <w:p>
            <w:pPr>
              <w:pStyle w:val="null3"/>
            </w:pPr>
            <w:r>
              <w:rPr>
                <w:rFonts w:ascii="仿宋_GB2312" w:hAnsi="仿宋_GB2312" w:cs="仿宋_GB2312" w:eastAsia="仿宋_GB2312"/>
              </w:rPr>
              <w:t>供应商针对本项目的重、难点及实施方案进行分析。思路清晰，重、难点分析准确、对项目理解充分计7.1-10分；思路基本清晰，有重、难点分析，基本了解项目需求计3.1-7;思路混乱，未体现重、难点且没有准确理解项目实施目的计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