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版本号：ZCJC-2025-01220250524001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中小微企业职业健康帮扶活动第三方服务机构采购项目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ZCJC-2025-012</w:t>
      </w:r>
      <w:r>
        <w:br/>
      </w:r>
      <w:r>
        <w:br/>
      </w:r>
      <w:r>
        <w:br/>
      </w:r>
    </w:p>
    <w:p>
      <w:pPr>
        <w:pStyle w:val="null3"/>
        <w:jc w:val="center"/>
        <w:outlineLvl w:val="2"/>
      </w:pPr>
      <w:r>
        <w:rPr>
          <w:rFonts w:ascii="仿宋_GB2312" w:hAnsi="仿宋_GB2312" w:cs="仿宋_GB2312" w:eastAsia="仿宋_GB2312"/>
          <w:sz w:val="28"/>
          <w:b/>
        </w:rPr>
        <w:t>铜川市职业病防治院</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铜川市职业病防治院</w:t>
      </w:r>
      <w:r>
        <w:rPr>
          <w:rFonts w:ascii="仿宋_GB2312" w:hAnsi="仿宋_GB2312" w:cs="仿宋_GB2312" w:eastAsia="仿宋_GB2312"/>
        </w:rPr>
        <w:t>委托，拟对</w:t>
      </w:r>
      <w:r>
        <w:rPr>
          <w:rFonts w:ascii="仿宋_GB2312" w:hAnsi="仿宋_GB2312" w:cs="仿宋_GB2312" w:eastAsia="仿宋_GB2312"/>
        </w:rPr>
        <w:t>中小微企业职业健康帮扶活动第三方服务机构采购项目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ZCJC-2025-012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中小微企业职业健康帮扶活动第三方服务机构采购项目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中小微企业职业健康帮扶活动第三方服务机构采购项目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铜川市职业病防治院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铜川市王益区青年路（金华小区步行街中段）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18391492603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18291866375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采购包1：236,000.00元</w:t>
            </w:r>
          </w:p>
          <w:p>
            <w:pPr>
              <w:pStyle w:val="null3"/>
            </w:pPr>
            <w:r>
              <w:rPr>
                <w:rFonts w:ascii="仿宋_GB2312" w:hAnsi="仿宋_GB2312" w:cs="仿宋_GB2312" w:eastAsia="仿宋_GB2312"/>
              </w:rPr>
              <w:t>采购包2：232,000.00元</w:t>
            </w:r>
          </w:p>
          <w:p>
            <w:pPr>
              <w:pStyle w:val="null3"/>
            </w:pPr>
            <w:r>
              <w:rPr>
                <w:rFonts w:ascii="仿宋_GB2312" w:hAnsi="仿宋_GB2312" w:cs="仿宋_GB2312" w:eastAsia="仿宋_GB2312"/>
              </w:rPr>
              <w:t>采购包3：232,000.00元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作为计算基数,采购代理服务费按国家计委颁发的《采购代理服务收费管理暂行办法》（计价格[2002]1980号）和国家发展改革委员会办公厅颁发的《关于采购代理服务收费有关问题的通知》（发改办价格[2003]857号）的有关规定执行，不足伍仟按伍仟元收取。 2.由成交供应商在领取成交通知书前向采购代理机构交纳代理服务费。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铜川市职业病防治院</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铜川市职业病防治院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铜川市职业病防治院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联系电话：18291866375</w:t>
      </w:r>
    </w:p>
    <w:p>
      <w:pPr>
        <w:pStyle w:val="null3"/>
      </w:pPr>
      <w:r>
        <w:rPr>
          <w:rFonts w:ascii="仿宋_GB2312" w:hAnsi="仿宋_GB2312" w:cs="仿宋_GB2312" w:eastAsia="仿宋_GB2312"/>
        </w:rPr>
        <w:t>地址：陕西省西安市未央区未央湖开发区草滩镇东风路228号阳光假日小区8号楼2单元3层301室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中小微企业职业健康帮扶活动第三方服务机构采购项目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236,000.00</w:t>
      </w:r>
    </w:p>
    <w:p>
      <w:pPr>
        <w:pStyle w:val="null3"/>
      </w:pPr>
      <w:r>
        <w:rPr>
          <w:rFonts w:ascii="仿宋_GB2312" w:hAnsi="仿宋_GB2312" w:cs="仿宋_GB2312" w:eastAsia="仿宋_GB2312"/>
        </w:rPr>
        <w:t>采购包最高限价（元）: 236,000.00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第三方服务机构（服务榆林市40家中小微企业）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232,000.00</w:t>
      </w:r>
    </w:p>
    <w:p>
      <w:pPr>
        <w:pStyle w:val="null3"/>
      </w:pPr>
      <w:r>
        <w:rPr>
          <w:rFonts w:ascii="仿宋_GB2312" w:hAnsi="仿宋_GB2312" w:cs="仿宋_GB2312" w:eastAsia="仿宋_GB2312"/>
        </w:rPr>
        <w:t>采购包最高限价（元）: 232,000.00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第三方服务机构（服务延安、商洛40家中小微企业）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232,000.00</w:t>
      </w:r>
    </w:p>
    <w:p>
      <w:pPr>
        <w:pStyle w:val="null3"/>
      </w:pPr>
      <w:r>
        <w:rPr>
          <w:rFonts w:ascii="仿宋_GB2312" w:hAnsi="仿宋_GB2312" w:cs="仿宋_GB2312" w:eastAsia="仿宋_GB2312"/>
        </w:rPr>
        <w:t>采购包最高限价（元）: 232,000.00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第三方服务机构（服务汉中、安康40家中小微企业）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标的名称：第三方服务机构（服务榆林市40家中小微企业）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帮助企业建立并完善职业健康管理档案:包括档案盒及相应档案管理资料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指导企业对工作场所职业病危害因素进行全面辨识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为企业进行全面的职业病危害因素检测并出具检测报告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指导企业完善职业病防护设施设置，为企业接触职业病危害因素的劳动者配发符合要求的职业病防护用品并指导其正确使用，防护用品配发数量不得低于接触职业病危害因素的劳动者的80%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指导企业正确设置职业卫生公告栏、职业病危害告知卡，为企业全面更换职业病危害警示标识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指导企业正确进行职业病危害项目申报，申报率不得低于80%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指导企业对职业病危害因素超标岗位进行职业病危害治理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与企业签订帮扶协议，建立长效的帮扶机制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甲方要求的其他事宜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标的名称：第三方服务机构（服务延安、商洛40家中小微企业）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帮助企业建立并完善职业健康管理档案:包括档案盒及相应档案管理资料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指导企业对工作场所职业病危害因素进行全面辨识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为企业进行全面的职业病危害因素检测并出具检测报告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指导企业完善职业病防护设施设置，为企业接触职业病危害因素的劳动者配发符合要求的职业病防护用品并指导其正确使用，防护用品配发数量不得低于接触职业病危害因素的劳动者的80%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指导企业正确设置职业卫生公告栏、职业病危害告知卡，为企业全面更换职业病危害警示标识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指导企业正确进行职业病危害项目申报，申报率不得低于80%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指导企业对职业病危害因素超标岗位进行职业病危害治理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与企业签订帮扶协议，建立长效的帮扶机制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甲方要求的其他事宜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标的名称：第三方服务机构（服务汉中、安康40家中小微企业）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帮助企业建立并完善职业健康管理档案:包括档案盒及相应档案管理资料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指导企业对工作场所职业病危害因素进行全面辨识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为企业进行全面的职业病危害因素检测并出具检测报告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指导企业完善职业病防护设施设置，为企业接触职业病危害因素的劳动者配发符合要求的职业病防护用品并指导其正确使用，防护用品配发数量不得低于接触职业病危害因素的劳动者的80%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指导企业正确设置职业卫生公告栏、职业病危害告知卡，为企业全面更换职业病危害警示标识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指导企业正确进行职业病危害项目申报，申报率不得低于80%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指导企业对职业病危害因素超标岗位进行职业病危害治理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与企业签订帮扶协议，建立长效的帮扶机制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甲方要求的其他事宜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满足采购人需求并符合国家相关规定要求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满足采购人需求并符合国家相关规定要求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自合同签订之日起，于2025年10月31日前完成帮扶工作并出具检测报告及帮扶工作验收单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自合同签订之日起，于2025年10月31日前完成帮扶工作并出具检测报告及帮扶工作验收单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自合同签订之日起，于2025年10月31日前完成帮扶工作并出具检测报告及帮扶工作验收单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1.项目完成后，由成交人向采购人提出验收申请。 2.项目由采购人进行验收，验收时成交 人应无条件予以配合并提供验 收所需的全部资料，若成交人不配合或者未按合同要求提供服务的，采购人将拒绝验收。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1.项目完成后，由成交人向采购人提出验收申请。 2.项目由采购人进行验收，验收时成交 人应无条件予以配合并提供验 收所需的全部资料，若成交人不配合或者未按合同要求提供服务的，采购人将拒绝验收。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1.项目完成后，由成交人向采购人提出验收申请。 2.项目由采购人进行验收，验收时成交 人应无条件予以配合并提供验 收所需的全部资料，若成交人不配合或者未按合同要求提供服务的，采购人将拒绝验收。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职业健康服务方案</w:t>
            </w:r>
          </w:p>
        </w:tc>
        <w:tc>
          <w:tcPr>
            <w:tcW w:type="dxa" w:w="2492"/>
          </w:tcPr>
          <w:p>
            <w:pPr>
              <w:pStyle w:val="null3"/>
            </w:pPr>
            <w:r>
              <w:rPr>
                <w:rFonts w:ascii="仿宋_GB2312" w:hAnsi="仿宋_GB2312" w:cs="仿宋_GB2312" w:eastAsia="仿宋_GB2312"/>
              </w:rPr>
              <w:t>方案全面涵盖职业病危害因素检测（明确检测方法、频次、范围，符合相关标准，如《工 作场所职业病危害因素检测规范》 ）、健康管理体系建设指导 （协助建立制度、档案，完善管理流程 ）等帮扶内容，得20-30分；方案较全面但存在细 节不足，得10-19分；方案内容简单、缺乏针对性，得1-9分。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专业技术能力</w:t>
            </w:r>
          </w:p>
        </w:tc>
        <w:tc>
          <w:tcPr>
            <w:tcW w:type="dxa" w:w="2492"/>
          </w:tcPr>
          <w:p>
            <w:pPr>
              <w:pStyle w:val="null3"/>
            </w:pPr>
            <w:r>
              <w:rPr>
                <w:rFonts w:ascii="仿宋_GB2312" w:hAnsi="仿宋_GB2312" w:cs="仿宋_GB2312" w:eastAsia="仿宋_GB2312"/>
              </w:rPr>
              <w:t>机构具备多名有丰富经验的职业卫生专业技术人员（提供人员资质证书和工作履历证明 ），得8-12分；专业人员数量较少、经验一般，得5-7分 ；专业人员配备不足，得1-4分。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制定完善的质量控制体系，对检测数据准确性、培训效果评估、服务过程监督等有严格把 控机制，得8-12分；质量控制措施基本满足要求，得5-7分；质量控制薄弱，得1-4分。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售后服务方案完善，包括服务响应时间短（24小时内响应 ）、后续跟踪服务机制健全（ 定期回访企业，及时解决问题 ），得7-11分；售后服务方案一般，得4-6分；售后服务方 案较差，得1-3分。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供应商针对本项目进行承诺（从管理质量、服务质量等方面）：承诺内容完整详尽，且不 限于上述所要求内容的得7-11分； 承诺内容无缺漏，对上述所要求内容描述符合招标文 件的得4-6分；不符合上述两种情形的得1-3分。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近3年内每有一项中小微企业职业健康帮扶或相关服务项目业绩得2分，最多得4分。需 提供合同、验收报告等有效证明材料，证明其具备项目实施能力和经验。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 基准价，其价格分为满分。其他投标人的价格分统一按照下列公式计算： 投标报价得分= (评标基准价／投标报价)×价格权值×100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职业健康服务方案</w:t>
            </w:r>
          </w:p>
        </w:tc>
        <w:tc>
          <w:tcPr>
            <w:tcW w:type="dxa" w:w="2492"/>
          </w:tcPr>
          <w:p>
            <w:pPr>
              <w:pStyle w:val="null3"/>
            </w:pPr>
            <w:r>
              <w:rPr>
                <w:rFonts w:ascii="仿宋_GB2312" w:hAnsi="仿宋_GB2312" w:cs="仿宋_GB2312" w:eastAsia="仿宋_GB2312"/>
              </w:rPr>
              <w:t>方案全面涵盖职业病危害因素检测（明确检测方法、频次、范围，符合相关标准，如《工 作场所职业病危害因素检测规范》 ）、健康管理体系建设指导 （协助建立制度、档案，完善管理流程 ）等帮扶内容，得20-30分；方案较全面但存在细 节不足，得10-19分；方案内容简单、缺乏针对性，得1-9分。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专业技术能力</w:t>
            </w:r>
          </w:p>
        </w:tc>
        <w:tc>
          <w:tcPr>
            <w:tcW w:type="dxa" w:w="2492"/>
          </w:tcPr>
          <w:p>
            <w:pPr>
              <w:pStyle w:val="null3"/>
            </w:pPr>
            <w:r>
              <w:rPr>
                <w:rFonts w:ascii="仿宋_GB2312" w:hAnsi="仿宋_GB2312" w:cs="仿宋_GB2312" w:eastAsia="仿宋_GB2312"/>
              </w:rPr>
              <w:t>机构具备多名有丰富经验的职业卫生专业技术人员（提供人员资质证书和工作履历证明 ），得8-12分；专业人员数量较少、经验一般，得5-7分 ；专业人员配备不足，得1-4分。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制定完善的质量控制体系，对检测数据准确性、培训效果评估、服务过程监督等有严格把 控机制，得8-12分；质量控制措施基本满足要求，得5-7分；质量控制薄弱，得1-4分。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售后服务方案完善，包括服务响应时间短（24小时内响应 ）、后续跟踪服务机制健全（ 定期回访企业，及时解决问题 ），得7-11分；售后服务方案一般，得4-6分；售后服务方 案较差，得1-3分。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供应商针对本项目进行承诺（从管理质量、服务质量等方面）：承诺内容完整详尽，且不 限于上述所要求内容的得7-11分； 承诺内容无缺漏，对上述所要求内容描述符合招标文 件的得4-6分；不符合上述两种情形的得1-3分。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近3年内每有一项中小微企业职业健康帮扶或相关服务项目业绩得2分，最多得4分。需提供合同、验收报告等有效证明材料，证明其具备项目实施能力和经验。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 基准价，其价格分为满分。其他投标人的价格分统一按照下列公式计算： 投标报价得分= (评标基准价／投标报价)×价格权值×100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职业健康服务方案</w:t>
            </w:r>
          </w:p>
        </w:tc>
        <w:tc>
          <w:tcPr>
            <w:tcW w:type="dxa" w:w="2492"/>
          </w:tcPr>
          <w:p>
            <w:pPr>
              <w:pStyle w:val="null3"/>
            </w:pPr>
            <w:r>
              <w:rPr>
                <w:rFonts w:ascii="仿宋_GB2312" w:hAnsi="仿宋_GB2312" w:cs="仿宋_GB2312" w:eastAsia="仿宋_GB2312"/>
              </w:rPr>
              <w:t>方案全面涵盖职业病危害因素检测（明确检测方法、频次、范围，符合相关标准，如《工 作场所职业病危害因素检测规范》 ）、健康管理体系建设指导 （协助建立制度、档案，完善管理流程 ）等帮扶内容，得20-30分；方案较全面但存在细 节不足，得10-19分；方案内容简单、缺乏针对性，得1-9分。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专业技术能力</w:t>
            </w:r>
          </w:p>
        </w:tc>
        <w:tc>
          <w:tcPr>
            <w:tcW w:type="dxa" w:w="2492"/>
          </w:tcPr>
          <w:p>
            <w:pPr>
              <w:pStyle w:val="null3"/>
            </w:pPr>
            <w:r>
              <w:rPr>
                <w:rFonts w:ascii="仿宋_GB2312" w:hAnsi="仿宋_GB2312" w:cs="仿宋_GB2312" w:eastAsia="仿宋_GB2312"/>
              </w:rPr>
              <w:t>机构具备多名有丰富经验的职业卫生专业技术人员（提供人员资质证书和工作履历证明 ），得8-12分；专业人员数量较少、经验一般，得5-7分 ；专业人员配备不足，得1-4分。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制定完善的质量控制体系，对检测数据准确性、培训效果评估、服务过程监督等有严格把 控机制，得8-12分；质量控制措施基本满足要求，得5-7分；质量控制薄弱，得1-4分。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售后服务方案完善，包括服务响应时间短（24小时内响应 ）、后续跟踪服务机制健全（ 定期回访企业，及时解决问题 ），得7-11分；售后服务方案一般，得4-6分；售后服务方 案较差，得1-3分。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供应商针对本项目进行承诺（从管理质量、服务质量等方面）：承诺内容完整详尽，且不 限于上述所要求内容的得7-11分； 承诺内容无缺漏，对上述所要求内容描述符合招标文 件的得4-6分；不符合上述两种情形的得1-3分。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近3年内每有一项中小微企业职业健康帮扶或相关服务项目业绩得2分，最多得4分。需提供合同、验收报告等有效证明材料，证明其具备项目实施能力和经验。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 基准价，其价格分为满分。其他投标人的价格分统一按照下列公式计算： 投标报价得分= (评标基准价／投标报价)×价格权值×100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