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B06BC7">
      <w:pPr>
        <w:pStyle w:val="3"/>
        <w:jc w:val="center"/>
        <w:rPr>
          <w:rFonts w:ascii="黑体" w:hAnsi="黑体" w:eastAsia="黑体"/>
          <w:b w:val="0"/>
        </w:rPr>
      </w:pPr>
      <w:r>
        <w:rPr>
          <w:rFonts w:hint="eastAsia" w:ascii="宋体" w:hAnsi="宋体" w:eastAsia="宋体" w:cs="Times New Roman"/>
          <w:b/>
          <w:bCs w:val="0"/>
          <w:kern w:val="0"/>
          <w:sz w:val="32"/>
          <w:szCs w:val="32"/>
          <w:lang w:val="en-US" w:eastAsia="zh-CN" w:bidi="ar-SA"/>
        </w:rPr>
        <w:t>合同主要条款</w:t>
      </w:r>
    </w:p>
    <w:p w14:paraId="1F21B4F2">
      <w:pPr>
        <w:snapToGrid w:val="0"/>
        <w:spacing w:line="500" w:lineRule="exact"/>
        <w:ind w:firstLine="472" w:firstLineChars="197"/>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1</w:t>
      </w:r>
      <w:r>
        <w:rPr>
          <w:rFonts w:hint="eastAsia" w:cs="宋体" w:asciiTheme="minorEastAsia" w:hAnsiTheme="minorEastAsia" w:eastAsiaTheme="minorEastAsia"/>
          <w:kern w:val="0"/>
          <w:sz w:val="24"/>
          <w:szCs w:val="24"/>
        </w:rPr>
        <w:t>、项目概述：（内容、地点、总体要求）</w:t>
      </w:r>
    </w:p>
    <w:p w14:paraId="36A21A8C">
      <w:pPr>
        <w:tabs>
          <w:tab w:val="left" w:pos="1155"/>
        </w:tabs>
        <w:snapToGrid w:val="0"/>
        <w:spacing w:line="500" w:lineRule="exact"/>
        <w:ind w:firstLine="480"/>
        <w:jc w:val="left"/>
        <w:rPr>
          <w:rFonts w:hint="eastAsia" w:cs="宋体" w:asciiTheme="minorEastAsia" w:hAnsiTheme="minorEastAsia" w:eastAsiaTheme="minorEastAsia"/>
          <w:kern w:val="0"/>
          <w:sz w:val="24"/>
          <w:szCs w:val="24"/>
        </w:rPr>
      </w:pPr>
      <w:r>
        <w:rPr>
          <w:rFonts w:cs="宋体" w:asciiTheme="minorEastAsia" w:hAnsiTheme="minorEastAsia" w:eastAsiaTheme="minorEastAsia"/>
          <w:kern w:val="0"/>
          <w:sz w:val="24"/>
          <w:szCs w:val="24"/>
        </w:rPr>
        <w:t>2</w:t>
      </w:r>
      <w:r>
        <w:rPr>
          <w:rFonts w:hint="eastAsia" w:cs="宋体" w:asciiTheme="minorEastAsia" w:hAnsiTheme="minorEastAsia" w:eastAsiaTheme="minorEastAsia"/>
          <w:kern w:val="0"/>
          <w:sz w:val="24"/>
          <w:szCs w:val="24"/>
        </w:rPr>
        <w:t>、合同总价格：即成交供应商的最终总报价。该价格不受市场和工作量变化的影响，固定且不可变动。</w:t>
      </w:r>
    </w:p>
    <w:p w14:paraId="70708B94">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（1）采购人、成交供应商应当在采购中心发出成交通知书之后，双方洽谈合同条款内容，拟订合同文本草案。</w:t>
      </w:r>
    </w:p>
    <w:p w14:paraId="6476BD0A">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（2）成交供应商应当自成交通知书发出之日起三十日历天内，按照</w:t>
      </w:r>
      <w:r>
        <w:rPr>
          <w:rFonts w:hint="eastAsia" w:ascii="宋体" w:hAnsi="宋体" w:eastAsia="宋体" w:cs="Times New Roman"/>
          <w:kern w:val="0"/>
          <w:sz w:val="24"/>
          <w:szCs w:val="24"/>
          <w:lang w:val="en-US" w:eastAsia="zh-CN"/>
        </w:rPr>
        <w:t>采购</w:t>
      </w:r>
      <w:r>
        <w:rPr>
          <w:rFonts w:hint="eastAsia" w:ascii="宋体" w:hAnsi="宋体" w:eastAsia="宋体" w:cs="Times New Roman"/>
          <w:kern w:val="0"/>
          <w:sz w:val="24"/>
          <w:szCs w:val="24"/>
        </w:rPr>
        <w:t>文件和自身所投响应文件的约定，与采购人签订书面合同。所签订的合同不得对</w:t>
      </w:r>
      <w:r>
        <w:rPr>
          <w:rFonts w:hint="eastAsia" w:ascii="宋体" w:hAnsi="宋体" w:eastAsia="宋体" w:cs="Times New Roman"/>
          <w:kern w:val="0"/>
          <w:sz w:val="24"/>
          <w:szCs w:val="24"/>
          <w:lang w:val="en-US" w:eastAsia="zh-CN"/>
        </w:rPr>
        <w:t>采购</w:t>
      </w:r>
      <w:r>
        <w:rPr>
          <w:rFonts w:hint="eastAsia" w:ascii="宋体" w:hAnsi="宋体" w:eastAsia="宋体" w:cs="Times New Roman"/>
          <w:kern w:val="0"/>
          <w:sz w:val="24"/>
          <w:szCs w:val="24"/>
        </w:rPr>
        <w:t>文件和成交供应商响应文件作实质性修改。</w:t>
      </w:r>
    </w:p>
    <w:p w14:paraId="3B8174EA">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中标（成交）供应商有融资需求，可根据自身情况，依照《陕西省财政厅关于印发陕西省中小企业政府采购信用融资办法》（陕财办采〔2018〕23号）、《陕西省财政厅关于加快推进我省中小企业政府采购信用融资工作的通知》（陕财办采〔2020〕15号）相关规定，在陕西省政府采购信用融资平台自主选择金融机构及其融资产品，凭政府采购中标成交通知书或政府采购合同向金融机构提出融资申请。</w:t>
      </w:r>
    </w:p>
    <w:p w14:paraId="07862460">
      <w:pPr>
        <w:tabs>
          <w:tab w:val="left" w:pos="1155"/>
        </w:tabs>
        <w:snapToGrid w:val="0"/>
        <w:spacing w:line="500" w:lineRule="exact"/>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w:t>
      </w:r>
      <w:r>
        <w:rPr>
          <w:rFonts w:hint="eastAsia" w:ascii="DotumChe" w:hAnsi="DotumChe" w:eastAsia="DotumChe" w:cs="宋体"/>
          <w:kern w:val="0"/>
          <w:sz w:val="24"/>
          <w:szCs w:val="24"/>
        </w:rPr>
        <w:t>★</w:t>
      </w:r>
      <w:r>
        <w:rPr>
          <w:rFonts w:cs="宋体" w:asciiTheme="minorEastAsia" w:hAnsiTheme="minorEastAsia" w:eastAsiaTheme="minorEastAsia"/>
          <w:kern w:val="0"/>
          <w:sz w:val="24"/>
          <w:szCs w:val="24"/>
        </w:rPr>
        <w:t>3</w:t>
      </w:r>
      <w:r>
        <w:rPr>
          <w:rFonts w:hint="eastAsia" w:cs="宋体" w:asciiTheme="minorEastAsia" w:hAnsiTheme="minorEastAsia" w:eastAsiaTheme="minorEastAsia"/>
          <w:kern w:val="0"/>
          <w:sz w:val="24"/>
          <w:szCs w:val="24"/>
        </w:rPr>
        <w:t>、货物规格及技术方案：即交付的货物的质量、规格等各项指标应与响应文件所指明的，或者与本合同所指明的货物各项指标及方案相一致。</w:t>
      </w:r>
    </w:p>
    <w:p w14:paraId="2888F691">
      <w:pPr>
        <w:tabs>
          <w:tab w:val="left" w:pos="1155"/>
        </w:tabs>
        <w:snapToGrid w:val="0"/>
        <w:spacing w:line="500" w:lineRule="exact"/>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4</w:t>
      </w:r>
      <w:r>
        <w:rPr>
          <w:rFonts w:hint="eastAsia" w:cs="宋体" w:asciiTheme="minorEastAsia" w:hAnsiTheme="minorEastAsia" w:eastAsiaTheme="minorEastAsia"/>
          <w:kern w:val="0"/>
          <w:sz w:val="24"/>
          <w:szCs w:val="24"/>
        </w:rPr>
        <w:t>、知识产权：即成交供应商应保证采购人在使用成交货物（服务）时，不承担任何涉及知识产权法律诉讼的责任。</w:t>
      </w:r>
    </w:p>
    <w:p w14:paraId="29287D73">
      <w:pPr>
        <w:adjustRightInd w:val="0"/>
        <w:snapToGrid w:val="0"/>
        <w:spacing w:line="440" w:lineRule="exact"/>
        <w:ind w:firstLine="355" w:firstLineChars="148"/>
        <w:rPr>
          <w:rFonts w:cs="宋体" w:asciiTheme="minorEastAsia" w:hAnsiTheme="minorEastAsia" w:eastAsiaTheme="minorEastAsia"/>
          <w:bCs/>
          <w:sz w:val="24"/>
          <w:szCs w:val="24"/>
        </w:rPr>
      </w:pPr>
      <w:r>
        <w:rPr>
          <w:rFonts w:hint="eastAsia" w:ascii="DotumChe" w:hAnsi="DotumChe" w:eastAsia="DotumChe" w:cs="宋体"/>
          <w:kern w:val="0"/>
          <w:sz w:val="24"/>
          <w:szCs w:val="24"/>
        </w:rPr>
        <w:t>★</w:t>
      </w:r>
      <w:r>
        <w:rPr>
          <w:rFonts w:cs="宋体" w:asciiTheme="minorEastAsia" w:hAnsiTheme="minorEastAsia" w:eastAsiaTheme="minorEastAsia"/>
          <w:kern w:val="0"/>
          <w:sz w:val="24"/>
          <w:szCs w:val="24"/>
        </w:rPr>
        <w:t>5</w:t>
      </w:r>
      <w:r>
        <w:rPr>
          <w:rFonts w:hint="eastAsia" w:cs="宋体" w:asciiTheme="minorEastAsia" w:hAnsiTheme="minorEastAsia" w:eastAsiaTheme="minorEastAsia"/>
          <w:kern w:val="0"/>
          <w:sz w:val="24"/>
          <w:szCs w:val="24"/>
        </w:rPr>
        <w:t>、供货期：</w:t>
      </w:r>
      <w:r>
        <w:rPr>
          <w:rFonts w:hint="eastAsia" w:cs="宋体" w:asciiTheme="minorEastAsia" w:hAnsiTheme="minorEastAsia" w:eastAsiaTheme="minorEastAsia"/>
          <w:bCs/>
          <w:sz w:val="24"/>
          <w:szCs w:val="24"/>
        </w:rPr>
        <w:t>供应商须</w:t>
      </w:r>
      <w:r>
        <w:rPr>
          <w:rFonts w:hint="eastAsia" w:cs="宋体" w:asciiTheme="minorEastAsia" w:hAnsiTheme="minorEastAsia" w:eastAsiaTheme="minorEastAsia"/>
          <w:bCs/>
          <w:sz w:val="24"/>
          <w:szCs w:val="24"/>
          <w:lang w:val="en-US" w:eastAsia="zh-CN"/>
        </w:rPr>
        <w:t>按文件</w:t>
      </w:r>
      <w:r>
        <w:rPr>
          <w:rFonts w:hint="eastAsia" w:asciiTheme="minorEastAsia" w:hAnsiTheme="minorEastAsia" w:eastAsiaTheme="minorEastAsia"/>
          <w:sz w:val="24"/>
          <w:szCs w:val="24"/>
        </w:rPr>
        <w:t>要求完成该项目产品安装调试及运行实现项目各系统功能要求。</w:t>
      </w:r>
    </w:p>
    <w:p w14:paraId="6988C2AB">
      <w:pPr>
        <w:tabs>
          <w:tab w:val="left" w:pos="1155"/>
        </w:tabs>
        <w:snapToGrid w:val="0"/>
        <w:spacing w:line="500" w:lineRule="exact"/>
        <w:ind w:firstLine="480" w:firstLineChars="200"/>
        <w:jc w:val="left"/>
        <w:rPr>
          <w:rFonts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成交供应商未征得采购人同意和谅解而单方面延迟交货，将按违约处理。</w:t>
      </w:r>
    </w:p>
    <w:p w14:paraId="6DC77282">
      <w:pPr>
        <w:tabs>
          <w:tab w:val="left" w:pos="1155"/>
        </w:tabs>
        <w:snapToGrid w:val="0"/>
        <w:spacing w:line="500" w:lineRule="exact"/>
        <w:ind w:firstLine="480" w:firstLineChars="200"/>
        <w:jc w:val="left"/>
        <w:rPr>
          <w:rFonts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成交供应商遇到可能妨碍按时交货和提供服务的情况，应当及时以书面形式通知采购人，说明原由、拖延的期限等；采购人、采购中心在收到通知后，尽快进行情况评估并确定是否通过修改合同，酌情延长交货时间或者通过协商加收误期赔偿金。</w:t>
      </w:r>
    </w:p>
    <w:p w14:paraId="480FC613">
      <w:pPr>
        <w:snapToGrid w:val="0"/>
        <w:spacing w:line="500" w:lineRule="exact"/>
        <w:jc w:val="left"/>
        <w:textAlignment w:val="baseline"/>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6</w:t>
      </w:r>
      <w:r>
        <w:rPr>
          <w:rFonts w:hint="eastAsia" w:cs="宋体" w:asciiTheme="minorEastAsia" w:hAnsiTheme="minorEastAsia" w:eastAsiaTheme="minorEastAsia"/>
          <w:kern w:val="0"/>
          <w:sz w:val="24"/>
          <w:szCs w:val="24"/>
        </w:rPr>
        <w:t>、交货地点：</w:t>
      </w:r>
      <w:r>
        <w:rPr>
          <w:rFonts w:hint="eastAsia" w:cs="宋体" w:asciiTheme="minorEastAsia" w:hAnsiTheme="minorEastAsia" w:eastAsiaTheme="minorEastAsia"/>
          <w:kern w:val="0"/>
          <w:sz w:val="24"/>
          <w:szCs w:val="24"/>
          <w:lang w:val="en-US" w:eastAsia="zh-CN"/>
        </w:rPr>
        <w:t>采购人</w:t>
      </w:r>
      <w:r>
        <w:rPr>
          <w:rFonts w:hint="eastAsia" w:cs="宋体" w:asciiTheme="minorEastAsia" w:hAnsiTheme="minorEastAsia" w:eastAsiaTheme="minorEastAsia"/>
          <w:kern w:val="0"/>
          <w:sz w:val="24"/>
          <w:szCs w:val="24"/>
        </w:rPr>
        <w:t>指定地点</w:t>
      </w:r>
    </w:p>
    <w:p w14:paraId="7ACF7E45">
      <w:pPr>
        <w:tabs>
          <w:tab w:val="left" w:pos="1155"/>
        </w:tabs>
        <w:snapToGrid w:val="0"/>
        <w:spacing w:line="500" w:lineRule="exact"/>
        <w:ind w:firstLine="480" w:firstLineChars="200"/>
        <w:jc w:val="left"/>
        <w:rPr>
          <w:rFonts w:cs="宋体" w:asciiTheme="minorEastAsia" w:hAnsiTheme="minorEastAsia" w:eastAsiaTheme="minorEastAsia"/>
          <w:kern w:val="0"/>
          <w:sz w:val="24"/>
          <w:szCs w:val="24"/>
        </w:rPr>
      </w:pPr>
      <w:r>
        <w:rPr>
          <w:rFonts w:cs="宋体" w:asciiTheme="minorEastAsia" w:hAnsiTheme="minorEastAsia" w:eastAsiaTheme="minorEastAsia"/>
          <w:kern w:val="0"/>
          <w:sz w:val="24"/>
          <w:szCs w:val="24"/>
        </w:rPr>
        <w:t>7</w:t>
      </w:r>
      <w:r>
        <w:rPr>
          <w:rFonts w:hint="eastAsia" w:cs="宋体" w:asciiTheme="minorEastAsia" w:hAnsiTheme="minorEastAsia" w:eastAsiaTheme="minorEastAsia"/>
          <w:kern w:val="0"/>
          <w:sz w:val="24"/>
          <w:szCs w:val="24"/>
        </w:rPr>
        <w:t>、包装：包装必须适应货物特性和交通运输要求，以及国家有关标准或企业标准或合同要求。</w:t>
      </w:r>
    </w:p>
    <w:p w14:paraId="15542277">
      <w:pPr>
        <w:tabs>
          <w:tab w:val="left" w:pos="1155"/>
        </w:tabs>
        <w:snapToGrid w:val="0"/>
        <w:spacing w:line="500" w:lineRule="exact"/>
        <w:ind w:firstLine="480" w:firstLineChars="200"/>
        <w:jc w:val="left"/>
        <w:rPr>
          <w:rFonts w:hint="eastAsia" w:cs="宋体"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8</w:t>
      </w:r>
      <w:r>
        <w:rPr>
          <w:rFonts w:hint="eastAsia" w:cs="宋体" w:asciiTheme="minorEastAsia" w:hAnsiTheme="minorEastAsia" w:eastAsiaTheme="minorEastAsia"/>
          <w:kern w:val="0"/>
          <w:sz w:val="24"/>
          <w:szCs w:val="24"/>
        </w:rPr>
        <w:t>、运输：成交供应商可根据交货期、运输条件自行选择运输方式（另有规定的除外），承担一切运输费用。</w:t>
      </w:r>
    </w:p>
    <w:p w14:paraId="53892895">
      <w:pPr>
        <w:tabs>
          <w:tab w:val="left" w:pos="1155"/>
        </w:tabs>
        <w:snapToGrid w:val="0"/>
        <w:spacing w:line="500" w:lineRule="exac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9、产品质量保证</w:t>
      </w:r>
    </w:p>
    <w:p w14:paraId="3AA172A5">
      <w:pPr>
        <w:tabs>
          <w:tab w:val="left" w:pos="1155"/>
        </w:tabs>
        <w:snapToGrid w:val="0"/>
        <w:spacing w:line="500" w:lineRule="exac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中标供应商应当保证所供货物的来源渠道正常，产品是全新的、未使用过的，且完全符合合同规定的质量、规格、技术指标等要求，并在质保期内、外对由于产品设计、工艺或材料的缺陷而产生的质量问题负责。</w:t>
      </w:r>
    </w:p>
    <w:p w14:paraId="4A633513">
      <w:pPr>
        <w:tabs>
          <w:tab w:val="left" w:pos="1155"/>
        </w:tabs>
        <w:snapToGrid w:val="0"/>
        <w:spacing w:line="500" w:lineRule="exact"/>
        <w:ind w:firstLine="360" w:firstLineChars="150"/>
        <w:jc w:val="left"/>
        <w:rPr>
          <w:rFonts w:cs="宋体" w:asciiTheme="minorEastAsia" w:hAnsiTheme="minorEastAsia" w:eastAsiaTheme="minorEastAsia"/>
          <w:kern w:val="0"/>
          <w:sz w:val="24"/>
          <w:szCs w:val="24"/>
        </w:rPr>
      </w:pPr>
      <w:r>
        <w:rPr>
          <w:rFonts w:cs="宋体" w:asciiTheme="minorEastAsia" w:hAnsiTheme="minorEastAsia" w:eastAsiaTheme="minorEastAsia"/>
          <w:kern w:val="0"/>
          <w:sz w:val="24"/>
          <w:szCs w:val="24"/>
        </w:rPr>
        <w:t>1</w:t>
      </w:r>
      <w:r>
        <w:rPr>
          <w:rFonts w:hint="eastAsia" w:cs="宋体" w:asciiTheme="minorEastAsia" w:hAnsiTheme="minorEastAsia" w:eastAsiaTheme="minorEastAsia"/>
          <w:kern w:val="0"/>
          <w:sz w:val="24"/>
          <w:szCs w:val="24"/>
        </w:rPr>
        <w:t>0、款项结算：成交供应商应将采购单位验收合格的报告送采购中心备案。</w:t>
      </w:r>
    </w:p>
    <w:p w14:paraId="47DC5D94">
      <w:pPr>
        <w:tabs>
          <w:tab w:val="left" w:pos="1155"/>
        </w:tabs>
        <w:snapToGrid w:val="0"/>
        <w:spacing w:line="500" w:lineRule="exact"/>
        <w:ind w:firstLine="480" w:firstLineChars="200"/>
        <w:jc w:val="left"/>
        <w:rPr>
          <w:rFonts w:hint="eastAsia" w:cs="宋体" w:asciiTheme="minorEastAsia" w:hAnsiTheme="minorEastAsia" w:eastAsiaTheme="minorEastAsia"/>
          <w:kern w:val="0"/>
          <w:sz w:val="24"/>
          <w:szCs w:val="24"/>
          <w:lang w:val="en-US" w:eastAsia="zh-CN"/>
        </w:rPr>
      </w:pPr>
      <w:r>
        <w:rPr>
          <w:rFonts w:hint="eastAsia" w:ascii="DotumChe" w:hAnsi="DotumChe" w:eastAsia="DotumChe" w:cs="宋体"/>
          <w:kern w:val="0"/>
          <w:sz w:val="24"/>
          <w:szCs w:val="24"/>
        </w:rPr>
        <w:t>★</w:t>
      </w:r>
      <w:r>
        <w:rPr>
          <w:rFonts w:hint="eastAsia" w:cs="宋体" w:asciiTheme="minorEastAsia" w:hAnsiTheme="minorEastAsia" w:eastAsiaTheme="minorEastAsia"/>
          <w:kern w:val="0"/>
          <w:sz w:val="24"/>
          <w:szCs w:val="24"/>
        </w:rPr>
        <w:t>付款方式：</w:t>
      </w:r>
      <w:r>
        <w:rPr>
          <w:rFonts w:hint="eastAsia" w:cs="宋体" w:asciiTheme="minorEastAsia" w:hAnsiTheme="minorEastAsia" w:eastAsiaTheme="minorEastAsia"/>
          <w:kern w:val="0"/>
          <w:sz w:val="24"/>
          <w:szCs w:val="24"/>
          <w:lang w:val="en-US" w:eastAsia="zh-CN"/>
        </w:rPr>
        <w:t>按照文件约定。</w:t>
      </w:r>
    </w:p>
    <w:p w14:paraId="7A1B59CA">
      <w:pPr>
        <w:tabs>
          <w:tab w:val="left" w:pos="1155"/>
        </w:tabs>
        <w:snapToGrid w:val="0"/>
        <w:spacing w:line="500" w:lineRule="exact"/>
        <w:ind w:firstLine="480" w:firstLineChars="200"/>
        <w:jc w:val="left"/>
        <w:rPr>
          <w:rFonts w:cs="宋体" w:asciiTheme="minorEastAsia" w:hAnsiTheme="minorEastAsia" w:eastAsiaTheme="minorEastAsia"/>
          <w:kern w:val="0"/>
          <w:sz w:val="24"/>
          <w:szCs w:val="24"/>
        </w:rPr>
      </w:pPr>
      <w:r>
        <w:rPr>
          <w:rFonts w:hint="eastAsia" w:ascii="DotumChe" w:hAnsi="DotumChe" w:eastAsia="DotumChe" w:cs="宋体"/>
          <w:kern w:val="0"/>
          <w:sz w:val="24"/>
          <w:szCs w:val="24"/>
        </w:rPr>
        <w:t>★</w:t>
      </w:r>
      <w:r>
        <w:rPr>
          <w:rFonts w:cs="宋体" w:asciiTheme="minorEastAsia" w:hAnsiTheme="minorEastAsia" w:eastAsiaTheme="minorEastAsia"/>
          <w:kern w:val="0"/>
          <w:sz w:val="24"/>
          <w:szCs w:val="24"/>
        </w:rPr>
        <w:t>1</w:t>
      </w:r>
      <w:r>
        <w:rPr>
          <w:rFonts w:hint="eastAsia" w:cs="宋体" w:asciiTheme="minorEastAsia" w:hAnsiTheme="minorEastAsia" w:eastAsiaTheme="minorEastAsia"/>
          <w:kern w:val="0"/>
          <w:sz w:val="24"/>
          <w:szCs w:val="24"/>
        </w:rPr>
        <w:t>1、技术保障：</w:t>
      </w:r>
      <w:r>
        <w:rPr>
          <w:rFonts w:cs="宋体" w:asciiTheme="minorEastAsia" w:hAnsiTheme="minorEastAsia" w:eastAsiaTheme="minorEastAsia"/>
          <w:kern w:val="0"/>
          <w:sz w:val="24"/>
          <w:szCs w:val="24"/>
        </w:rPr>
        <w:t xml:space="preserve"> </w:t>
      </w:r>
    </w:p>
    <w:p w14:paraId="7CD05E63">
      <w:pPr>
        <w:tabs>
          <w:tab w:val="left" w:pos="1155"/>
        </w:tabs>
        <w:snapToGrid w:val="0"/>
        <w:spacing w:line="500" w:lineRule="exact"/>
        <w:ind w:firstLine="480" w:firstLineChars="200"/>
        <w:jc w:val="left"/>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成交供应商应随同货物提供相应的中文技术文件（包括生产厂家针对主要产品提供的原厂产品授权书、产品合格证、装箱清单、操作手册、使用说明、检测报告、维护手册、服务指南等资料），现场安装、调试、试运行技术保障服务。</w:t>
      </w:r>
    </w:p>
    <w:p w14:paraId="6B5120B3">
      <w:pPr>
        <w:snapToGrid w:val="0"/>
        <w:spacing w:line="500" w:lineRule="exact"/>
        <w:ind w:firstLine="480" w:firstLineChars="200"/>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1</w:t>
      </w:r>
      <w:r>
        <w:rPr>
          <w:rFonts w:hint="eastAsia" w:cs="宋体" w:asciiTheme="minorEastAsia" w:hAnsiTheme="minorEastAsia" w:eastAsiaTheme="minorEastAsia"/>
          <w:kern w:val="0"/>
          <w:sz w:val="24"/>
          <w:szCs w:val="24"/>
        </w:rPr>
        <w:t>2、技术培训：</w:t>
      </w:r>
    </w:p>
    <w:p w14:paraId="200F3E5E">
      <w:pPr>
        <w:tabs>
          <w:tab w:val="left" w:pos="1155"/>
        </w:tabs>
        <w:snapToGrid w:val="0"/>
        <w:spacing w:line="500" w:lineRule="exact"/>
        <w:ind w:firstLine="480" w:firstLineChars="200"/>
        <w:jc w:val="left"/>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培训方式：现场免费培训，包括提供现场应用的技术咨询和支持，使用方法培训服务。保证操作人员熟练掌握日常操作技术及维护知识，并提供相关资料。</w:t>
      </w:r>
    </w:p>
    <w:p w14:paraId="71DC84FC">
      <w:pPr>
        <w:tabs>
          <w:tab w:val="left" w:pos="1155"/>
        </w:tabs>
        <w:snapToGrid w:val="0"/>
        <w:spacing w:line="500" w:lineRule="exact"/>
        <w:ind w:firstLine="480" w:firstLineChars="200"/>
        <w:jc w:val="left"/>
        <w:rPr>
          <w:rFonts w:cs="宋体" w:asciiTheme="minorEastAsia" w:hAnsiTheme="minorEastAsia" w:eastAsiaTheme="minorEastAsia"/>
          <w:kern w:val="0"/>
          <w:sz w:val="24"/>
          <w:szCs w:val="24"/>
        </w:rPr>
      </w:pPr>
      <w:r>
        <w:rPr>
          <w:rFonts w:cs="宋体" w:asciiTheme="minorEastAsia" w:hAnsiTheme="minorEastAsia" w:eastAsiaTheme="minorEastAsia"/>
          <w:kern w:val="0"/>
          <w:sz w:val="24"/>
          <w:szCs w:val="24"/>
        </w:rPr>
        <w:t>1</w:t>
      </w:r>
      <w:r>
        <w:rPr>
          <w:rFonts w:hint="eastAsia" w:cs="宋体" w:asciiTheme="minorEastAsia" w:hAnsiTheme="minorEastAsia" w:eastAsiaTheme="minorEastAsia"/>
          <w:kern w:val="0"/>
          <w:sz w:val="24"/>
          <w:szCs w:val="24"/>
        </w:rPr>
        <w:t>3、验收：采购方组织有关专业人员从以下方面对货物进行验收。</w:t>
      </w:r>
    </w:p>
    <w:p w14:paraId="5CC176F2">
      <w:pPr>
        <w:tabs>
          <w:tab w:val="left" w:pos="1155"/>
        </w:tabs>
        <w:snapToGrid w:val="0"/>
        <w:spacing w:line="500" w:lineRule="exact"/>
        <w:ind w:firstLine="480" w:firstLineChars="200"/>
        <w:jc w:val="left"/>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13.1检查货物是否与合同相符。</w:t>
      </w:r>
    </w:p>
    <w:p w14:paraId="0ADCE548">
      <w:pPr>
        <w:snapToGrid w:val="0"/>
        <w:spacing w:line="500" w:lineRule="exact"/>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w:t>
      </w:r>
      <w:r>
        <w:rPr>
          <w:rFonts w:hint="eastAsia" w:cs="宋体" w:asciiTheme="minorEastAsia" w:hAnsiTheme="minorEastAsia" w:eastAsiaTheme="minorEastAsia"/>
          <w:kern w:val="0"/>
          <w:sz w:val="24"/>
          <w:szCs w:val="24"/>
        </w:rPr>
        <w:t xml:space="preserve"> 13.2检查货物封装是否合格，随箱附件是否齐全；</w:t>
      </w:r>
    </w:p>
    <w:p w14:paraId="0E3445D2">
      <w:pPr>
        <w:snapToGrid w:val="0"/>
        <w:spacing w:line="500" w:lineRule="exact"/>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w:t>
      </w:r>
      <w:r>
        <w:rPr>
          <w:rFonts w:hint="eastAsia" w:cs="宋体" w:asciiTheme="minorEastAsia" w:hAnsiTheme="minorEastAsia" w:eastAsiaTheme="minorEastAsia"/>
          <w:kern w:val="0"/>
          <w:sz w:val="24"/>
          <w:szCs w:val="24"/>
        </w:rPr>
        <w:t xml:space="preserve"> 13.3</w:t>
      </w:r>
      <w:r>
        <w:rPr>
          <w:rFonts w:cs="宋体" w:asciiTheme="minorEastAsia" w:hAnsiTheme="minorEastAsia" w:eastAsiaTheme="minorEastAsia"/>
          <w:kern w:val="0"/>
          <w:sz w:val="24"/>
          <w:szCs w:val="24"/>
        </w:rPr>
        <w:t xml:space="preserve"> </w:t>
      </w:r>
      <w:r>
        <w:rPr>
          <w:rFonts w:hint="eastAsia" w:cs="宋体" w:asciiTheme="minorEastAsia" w:hAnsiTheme="minorEastAsia" w:eastAsiaTheme="minorEastAsia"/>
          <w:kern w:val="0"/>
          <w:sz w:val="24"/>
          <w:szCs w:val="24"/>
        </w:rPr>
        <w:t>检查货物外观是否全新、完好，规格型号或内部组件是否合乎标准；</w:t>
      </w:r>
    </w:p>
    <w:p w14:paraId="4481C9E1">
      <w:pPr>
        <w:snapToGrid w:val="0"/>
        <w:spacing w:line="500" w:lineRule="exact"/>
        <w:ind w:firstLine="48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13.4</w:t>
      </w:r>
      <w:r>
        <w:rPr>
          <w:rFonts w:hint="eastAsia" w:cs="宋体" w:asciiTheme="minorEastAsia" w:hAnsiTheme="minorEastAsia" w:eastAsiaTheme="minorEastAsia"/>
          <w:kern w:val="0"/>
          <w:sz w:val="24"/>
          <w:szCs w:val="24"/>
          <w:lang w:val="en-US" w:eastAsia="zh-CN"/>
        </w:rPr>
        <w:t>产品</w:t>
      </w:r>
      <w:r>
        <w:rPr>
          <w:rFonts w:hint="eastAsia" w:cs="宋体" w:asciiTheme="minorEastAsia" w:hAnsiTheme="minorEastAsia" w:eastAsiaTheme="minorEastAsia"/>
          <w:kern w:val="0"/>
          <w:sz w:val="24"/>
          <w:szCs w:val="24"/>
        </w:rPr>
        <w:t>是否满足采购文件要求，</w:t>
      </w:r>
      <w:r>
        <w:rPr>
          <w:rFonts w:hint="eastAsia" w:cs="宋体" w:asciiTheme="minorEastAsia" w:hAnsiTheme="minorEastAsia" w:eastAsiaTheme="minorEastAsia"/>
          <w:kern w:val="0"/>
          <w:sz w:val="24"/>
          <w:szCs w:val="24"/>
          <w:lang w:val="en-US" w:eastAsia="zh-CN"/>
        </w:rPr>
        <w:t>项目整体</w:t>
      </w:r>
      <w:r>
        <w:rPr>
          <w:rFonts w:hint="eastAsia" w:cs="宋体" w:asciiTheme="minorEastAsia" w:hAnsiTheme="minorEastAsia" w:eastAsiaTheme="minorEastAsia"/>
          <w:kern w:val="0"/>
          <w:sz w:val="24"/>
          <w:szCs w:val="24"/>
        </w:rPr>
        <w:t>运行是否正常；</w:t>
      </w:r>
    </w:p>
    <w:p w14:paraId="6D6F0197">
      <w:pPr>
        <w:snapToGrid w:val="0"/>
        <w:spacing w:line="500" w:lineRule="exact"/>
        <w:ind w:firstLine="480" w:firstLineChars="200"/>
        <w:jc w:val="left"/>
        <w:rPr>
          <w:rFonts w:hint="default" w:cs="宋体" w:asciiTheme="minorEastAsia" w:hAnsiTheme="minorEastAsia" w:eastAsiaTheme="minorEastAsia"/>
          <w:kern w:val="0"/>
          <w:sz w:val="24"/>
          <w:szCs w:val="24"/>
          <w:lang w:val="en-US" w:eastAsia="zh-CN"/>
        </w:rPr>
      </w:pPr>
      <w:r>
        <w:rPr>
          <w:rFonts w:hint="eastAsia" w:cs="宋体" w:asciiTheme="minorEastAsia" w:hAnsiTheme="minorEastAsia" w:eastAsiaTheme="minorEastAsia"/>
          <w:kern w:val="0"/>
          <w:sz w:val="24"/>
          <w:szCs w:val="24"/>
          <w:lang w:val="en-US" w:eastAsia="zh-CN"/>
        </w:rPr>
        <w:t>13.5须经特种设备监管机构备案、验收。</w:t>
      </w:r>
    </w:p>
    <w:p w14:paraId="6F62D5C6">
      <w:pPr>
        <w:snapToGrid w:val="0"/>
        <w:spacing w:line="500" w:lineRule="exact"/>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w:t>
      </w:r>
      <w:r>
        <w:rPr>
          <w:rFonts w:hint="eastAsia" w:cs="宋体" w:asciiTheme="minorEastAsia" w:hAnsiTheme="minorEastAsia" w:eastAsiaTheme="minorEastAsia"/>
          <w:kern w:val="0"/>
          <w:sz w:val="24"/>
          <w:szCs w:val="24"/>
        </w:rPr>
        <w:t>以上验收条件均通过时，视为验收合格。否则验收人员有权拒付部分或全部货款。</w:t>
      </w:r>
    </w:p>
    <w:p w14:paraId="20081E68">
      <w:pPr>
        <w:snapToGrid w:val="0"/>
        <w:spacing w:line="500" w:lineRule="exact"/>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1</w:t>
      </w:r>
      <w:r>
        <w:rPr>
          <w:rFonts w:hint="eastAsia" w:cs="宋体" w:asciiTheme="minorEastAsia" w:hAnsiTheme="minorEastAsia" w:eastAsiaTheme="minorEastAsia"/>
          <w:kern w:val="0"/>
          <w:sz w:val="24"/>
          <w:szCs w:val="24"/>
        </w:rPr>
        <w:t>4、合同争议的解决：合同执行中发生争议的，当事人双方应协商解决，协商达不成一致时，可向当地仲裁机关申请仲裁或者向人民法院提请诉讼。</w:t>
      </w:r>
    </w:p>
    <w:p w14:paraId="41B6A9BF">
      <w:pPr>
        <w:snapToGrid w:val="0"/>
        <w:spacing w:line="500" w:lineRule="exact"/>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1</w:t>
      </w:r>
      <w:r>
        <w:rPr>
          <w:rFonts w:hint="eastAsia" w:cs="宋体" w:asciiTheme="minorEastAsia" w:hAnsiTheme="minorEastAsia" w:eastAsiaTheme="minorEastAsia"/>
          <w:kern w:val="0"/>
          <w:sz w:val="24"/>
          <w:szCs w:val="24"/>
        </w:rPr>
        <w:t>5、在发生不可抗力情况下的应对措施和解决办法。</w:t>
      </w:r>
    </w:p>
    <w:p w14:paraId="6038F020">
      <w:pPr>
        <w:snapToGrid w:val="0"/>
        <w:spacing w:line="500" w:lineRule="exact"/>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1</w:t>
      </w:r>
      <w:r>
        <w:rPr>
          <w:rFonts w:hint="eastAsia" w:cs="宋体" w:asciiTheme="minorEastAsia" w:hAnsiTheme="minorEastAsia" w:eastAsiaTheme="minorEastAsia"/>
          <w:kern w:val="0"/>
          <w:sz w:val="24"/>
          <w:szCs w:val="24"/>
        </w:rPr>
        <w:t>6、合同一经签订，不得擅自变更、中止或者终止合同。对确需变更、调整或者中止、终止合同的，应按规定履行相应的手续。</w:t>
      </w:r>
    </w:p>
    <w:p w14:paraId="42349AB8">
      <w:pPr>
        <w:snapToGrid w:val="0"/>
        <w:spacing w:line="500" w:lineRule="exact"/>
        <w:ind w:firstLine="480" w:firstLineChars="200"/>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1</w:t>
      </w:r>
      <w:r>
        <w:rPr>
          <w:rFonts w:hint="eastAsia" w:cs="宋体" w:asciiTheme="minorEastAsia" w:hAnsiTheme="minorEastAsia" w:eastAsiaTheme="minorEastAsia"/>
          <w:kern w:val="0"/>
          <w:sz w:val="24"/>
          <w:szCs w:val="24"/>
        </w:rPr>
        <w:t>7、违约责任：依据《中华人民共和国</w:t>
      </w:r>
      <w:r>
        <w:rPr>
          <w:rFonts w:hint="eastAsia" w:cs="宋体" w:asciiTheme="minorEastAsia" w:hAnsiTheme="minorEastAsia" w:eastAsiaTheme="minorEastAsia"/>
          <w:kern w:val="0"/>
          <w:sz w:val="24"/>
          <w:szCs w:val="24"/>
          <w:lang w:val="en-US" w:eastAsia="zh-CN"/>
        </w:rPr>
        <w:t>民法典</w:t>
      </w:r>
      <w:r>
        <w:rPr>
          <w:rFonts w:hint="eastAsia" w:cs="宋体" w:asciiTheme="minorEastAsia" w:hAnsiTheme="minorEastAsia" w:eastAsiaTheme="minorEastAsia"/>
          <w:kern w:val="0"/>
          <w:sz w:val="24"/>
          <w:szCs w:val="24"/>
        </w:rPr>
        <w:t>》《中华人民共和国政府采购法》的相关条款规定和本合同约定，成交供应商未全面履行合同义务或者发生违约，采购人会同采购中心有权终止合同，并报请政府采购监管机关依法进行相应的行政处罚。</w:t>
      </w:r>
    </w:p>
    <w:p w14:paraId="5F48F8AC">
      <w:pPr>
        <w:spacing w:line="500" w:lineRule="exact"/>
        <w:ind w:firstLine="480" w:firstLineChars="200"/>
      </w:pPr>
      <w:r>
        <w:rPr>
          <w:rFonts w:hint="eastAsia" w:asciiTheme="minorEastAsia" w:hAnsiTheme="minorEastAsia" w:eastAsiaTheme="minorEastAsia"/>
          <w:sz w:val="24"/>
          <w:szCs w:val="24"/>
        </w:rPr>
        <w:t>18</w:t>
      </w:r>
      <w:r>
        <w:rPr>
          <w:rFonts w:asciiTheme="minorEastAsia" w:hAnsiTheme="minorEastAsia" w:eastAsiaTheme="minorEastAsia"/>
          <w:sz w:val="24"/>
          <w:szCs w:val="24"/>
        </w:rPr>
        <w:t>、</w:t>
      </w:r>
      <w:r>
        <w:rPr>
          <w:rFonts w:hint="eastAsia" w:asciiTheme="minorEastAsia" w:hAnsiTheme="minorEastAsia" w:eastAsiaTheme="minorEastAsia"/>
          <w:sz w:val="24"/>
          <w:szCs w:val="24"/>
        </w:rPr>
        <w:t>合同生效及其他：本合同自签订之日起生效。未尽事宜由双方在</w:t>
      </w:r>
      <w:r>
        <w:rPr>
          <w:rFonts w:asciiTheme="minorEastAsia" w:hAnsiTheme="minorEastAsia" w:eastAsiaTheme="minorEastAsia"/>
          <w:sz w:val="24"/>
          <w:szCs w:val="24"/>
        </w:rPr>
        <w:t>签订</w:t>
      </w:r>
      <w:r>
        <w:rPr>
          <w:rFonts w:hint="eastAsia" w:asciiTheme="minorEastAsia" w:hAnsiTheme="minorEastAsia" w:eastAsiaTheme="minorEastAsia"/>
          <w:sz w:val="24"/>
          <w:szCs w:val="24"/>
        </w:rPr>
        <w:t>合同时</w:t>
      </w:r>
      <w:r>
        <w:rPr>
          <w:rFonts w:asciiTheme="minorEastAsia" w:hAnsiTheme="minorEastAsia" w:eastAsiaTheme="minorEastAsia"/>
          <w:sz w:val="24"/>
          <w:szCs w:val="24"/>
        </w:rPr>
        <w:t>具体明确</w:t>
      </w:r>
      <w:r>
        <w:rPr>
          <w:rFonts w:hint="eastAsia" w:asciiTheme="minorEastAsia" w:hAnsiTheme="minorEastAsia" w:eastAsiaTheme="minorEastAsia"/>
          <w:sz w:val="24"/>
          <w:szCs w:val="24"/>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otumChe">
    <w:altName w:val="Malgun Gothic"/>
    <w:panose1 w:val="020B0609000101010101"/>
    <w:charset w:val="81"/>
    <w:family w:val="modern"/>
    <w:pitch w:val="default"/>
    <w:sig w:usb0="00000000" w:usb1="00000000" w:usb2="00000030" w:usb3="00000000" w:csb0="0008009F" w:csb1="00000000"/>
  </w:font>
  <w:font w:name="仿宋">
    <w:panose1 w:val="02010609060101010101"/>
    <w:charset w:val="86"/>
    <w:family w:val="auto"/>
    <w:pitch w:val="default"/>
    <w:sig w:usb0="800002BF" w:usb1="38CF7CFA" w:usb2="00000016" w:usb3="00000000" w:csb0="00040001" w:csb1="00000000"/>
  </w:font>
  <w:font w:name="Malgun Gothic">
    <w:panose1 w:val="020B0503020000020004"/>
    <w:charset w:val="81"/>
    <w:family w:val="auto"/>
    <w:pitch w:val="default"/>
    <w:sig w:usb0="9000002F" w:usb1="2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wNTZjZDA4NjdiZjc2NzM3MmI5MzhmYzUwYmEwMzQifQ=="/>
  </w:docVars>
  <w:rsids>
    <w:rsidRoot w:val="00000000"/>
    <w:rsid w:val="0E380DFE"/>
    <w:rsid w:val="27C35245"/>
    <w:rsid w:val="2AEA752B"/>
    <w:rsid w:val="78ED7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autoRedefine/>
    <w:qFormat/>
    <w:uiPriority w:val="99"/>
    <w:pPr>
      <w:keepNext/>
      <w:keepLines/>
      <w:spacing w:line="240" w:lineRule="auto"/>
      <w:jc w:val="center"/>
      <w:outlineLvl w:val="0"/>
    </w:pPr>
    <w:rPr>
      <w:b/>
      <w:bCs/>
      <w:kern w:val="44"/>
      <w:sz w:val="36"/>
      <w:szCs w:val="44"/>
    </w:rPr>
  </w:style>
  <w:style w:type="character" w:default="1" w:styleId="7">
    <w:name w:val="Default Paragraph Font"/>
    <w:autoRedefine/>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Body Text"/>
    <w:basedOn w:val="1"/>
    <w:next w:val="1"/>
    <w:qFormat/>
    <w:uiPriority w:val="99"/>
    <w:pPr>
      <w:spacing w:afterLines="50" w:line="360" w:lineRule="auto"/>
    </w:pPr>
    <w:rPr>
      <w:rFonts w:ascii="宋体" w:hAnsi="宋体" w:cs="宋体"/>
      <w:color w:val="000000"/>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1643</Words>
  <Characters>1672</Characters>
  <Lines>0</Lines>
  <Paragraphs>0</Paragraphs>
  <TotalTime>5</TotalTime>
  <ScaleCrop>false</ScaleCrop>
  <LinksUpToDate>false</LinksUpToDate>
  <CharactersWithSpaces>1716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2023-12-27T02:07:00Z</dcterms:created>
  <dc:creator>Administrator</dc:creator>
  <cp:lastModifiedBy>蓝月亮</cp:lastModifiedBy>
  <dcterms:modified xsi:type="dcterms:W3CDTF">2024-10-30T06:39:19Z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55B74B14CB714093B6D2E903520AE309_12</vt:lpwstr>
  </property>
</Properties>
</file>