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版本号：SXGLZFCG2025-022号20250611001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铜川市政府“两微一报一解读”(二次)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SXGLZFCG2025-022号</w:t>
      </w:r>
      <w:r>
        <w:br/>
      </w:r>
      <w:r>
        <w:br/>
      </w:r>
      <w:r>
        <w:br/>
      </w:r>
    </w:p>
    <w:p>
      <w:pPr>
        <w:pStyle w:val="null3"/>
        <w:jc w:val="center"/>
        <w:outlineLvl w:val="2"/>
      </w:pPr>
      <w:r>
        <w:rPr>
          <w:rFonts w:ascii="仿宋_GB2312" w:hAnsi="仿宋_GB2312" w:cs="仿宋_GB2312" w:eastAsia="仿宋_GB2312"/>
          <w:sz w:val="28"/>
          <w:b/>
        </w:rPr>
        <w:t>铜川市人民政府办公室（铜川市数据局）</w:t>
      </w:r>
    </w:p>
    <w:p>
      <w:pPr>
        <w:pStyle w:val="null3"/>
        <w:jc w:val="center"/>
        <w:outlineLvl w:val="2"/>
      </w:pPr>
      <w:r>
        <w:rPr>
          <w:rFonts w:ascii="仿宋_GB2312" w:hAnsi="仿宋_GB2312" w:cs="仿宋_GB2312" w:eastAsia="仿宋_GB2312"/>
          <w:sz w:val="28"/>
          <w:b/>
        </w:rPr>
        <w:t>陕西公立工程项目管理咨询有限公司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2025年05月28日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陕西公立工程项目管理咨询有限公司</w:t>
      </w:r>
      <w:r>
        <w:rPr>
          <w:rFonts w:ascii="仿宋_GB2312" w:hAnsi="仿宋_GB2312" w:cs="仿宋_GB2312" w:eastAsia="仿宋_GB2312"/>
        </w:rPr>
        <w:t>（以下简称“代理机构”）受</w:t>
      </w:r>
      <w:r>
        <w:rPr>
          <w:rFonts w:ascii="仿宋_GB2312" w:hAnsi="仿宋_GB2312" w:cs="仿宋_GB2312" w:eastAsia="仿宋_GB2312"/>
        </w:rPr>
        <w:t>铜川市人民政府办公室（铜川市数据局）</w:t>
      </w:r>
      <w:r>
        <w:rPr>
          <w:rFonts w:ascii="仿宋_GB2312" w:hAnsi="仿宋_GB2312" w:cs="仿宋_GB2312" w:eastAsia="仿宋_GB2312"/>
        </w:rPr>
        <w:t>委托，拟对</w:t>
      </w:r>
      <w:r>
        <w:rPr>
          <w:rFonts w:ascii="仿宋_GB2312" w:hAnsi="仿宋_GB2312" w:cs="仿宋_GB2312" w:eastAsia="仿宋_GB2312"/>
        </w:rPr>
        <w:t>铜川市政府“两微一报一解读”(二次)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SXGLZFCG2025-022号</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铜川市政府“两微一报一解读”(二次)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“两微一报一解读”，（“两微”指“铜川发布”微博、微信，“一报”指《铜川市人民政府公报》，“一解读”指铜川市政府政策解读）实行政府购买服务。服务期一年（自合同签订之日起）。</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采购包1（铜川市政府“两微一报一解读”）：属于专门面向小微企业采购。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1、合格供应商：①如供应商是企业（包括合伙企业），应提供在工商部门注册的有效“企业法人营业执照”或“营业执照”； ②如供应商是事业单位，应提供有效的“事业单位法人证书”； ③如供应商是为企业专业服务机构的，应提供执业许可证等证明文件； ④如供应商是个体工商户，应提供有效的“个体工商户营业执照”； ⑤如供应商为自然人，应提供有效的自然人身份证明。 备注：上述条款的前置条件为必须在“陕西省政府采购网”中“供应商库”备案审核通过的供应商。</w:t>
      </w:r>
    </w:p>
    <w:p>
      <w:pPr>
        <w:pStyle w:val="null3"/>
      </w:pPr>
      <w:r>
        <w:rPr>
          <w:rFonts w:ascii="仿宋_GB2312" w:hAnsi="仿宋_GB2312" w:cs="仿宋_GB2312" w:eastAsia="仿宋_GB2312"/>
        </w:rPr>
        <w:t>2、法人身份证明或授权委托：法定代表人参加投标须出具法定代表人身份证明（并附有效证件），被授权代理人参加投标须出具法定代表人授权书及被授权人有效证件。</w:t>
      </w:r>
    </w:p>
    <w:p>
      <w:pPr>
        <w:pStyle w:val="null3"/>
      </w:pPr>
      <w:r>
        <w:rPr>
          <w:rFonts w:ascii="仿宋_GB2312" w:hAnsi="仿宋_GB2312" w:cs="仿宋_GB2312" w:eastAsia="仿宋_GB2312"/>
        </w:rPr>
        <w:t>3、供应商信誉：供应商不得为“信用中国”网站（www.creditchina.gov.cn）中列入失信被执行人和重大税收违法失信主体名单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4、财务状况报告：供应商提供2023年的财务审计报告(成立时间至提交响应文件截止时间不足年的可提供成立后任意时段的资产负债表)，或其基本存款账户开户银行投标截止前6个月内出具的资信或资金证明(复印件加盖供应商公章)。</w:t>
      </w:r>
    </w:p>
    <w:p>
      <w:pPr>
        <w:pStyle w:val="null3"/>
      </w:pPr>
      <w:r>
        <w:rPr>
          <w:rFonts w:ascii="仿宋_GB2312" w:hAnsi="仿宋_GB2312" w:cs="仿宋_GB2312" w:eastAsia="仿宋_GB2312"/>
        </w:rPr>
        <w:t>5、履行能力：具有履行合同所必需的设备和专业技术能力，提供证明材料或书面承诺并加盖公章。</w:t>
      </w:r>
    </w:p>
    <w:p>
      <w:pPr>
        <w:pStyle w:val="null3"/>
      </w:pPr>
      <w:r>
        <w:rPr>
          <w:rFonts w:ascii="仿宋_GB2312" w:hAnsi="仿宋_GB2312" w:cs="仿宋_GB2312" w:eastAsia="仿宋_GB2312"/>
        </w:rPr>
        <w:t>6、无重大违法记录声明：参加政府采购活动近三年内，在经营活动中没有重大违法记录，提供书面声明。</w:t>
      </w:r>
    </w:p>
    <w:p>
      <w:pPr>
        <w:pStyle w:val="null3"/>
      </w:pPr>
      <w:r>
        <w:rPr>
          <w:rFonts w:ascii="仿宋_GB2312" w:hAnsi="仿宋_GB2312" w:cs="仿宋_GB2312" w:eastAsia="仿宋_GB2312"/>
        </w:rPr>
        <w:t>7、税收缴纳证明：提供投标文件递交截止时间前1年内任意1个月已缴纳完税凭证（任意税种）或税务机关开具的完税证明（任意税种）。</w:t>
      </w:r>
    </w:p>
    <w:p>
      <w:pPr>
        <w:pStyle w:val="null3"/>
      </w:pPr>
      <w:r>
        <w:rPr>
          <w:rFonts w:ascii="仿宋_GB2312" w:hAnsi="仿宋_GB2312" w:cs="仿宋_GB2312" w:eastAsia="仿宋_GB2312"/>
        </w:rPr>
        <w:t>8、社会保障资金缴纳证明：提供投标文件递交截止时间前1年内任意1个月已缴存的任意时段的社会保障资金缴存单据或社保机构开具的社会保险参保缴费情况证明。</w:t>
      </w:r>
    </w:p>
    <w:p>
      <w:pPr>
        <w:pStyle w:val="null3"/>
      </w:pPr>
      <w:r>
        <w:rPr>
          <w:rFonts w:ascii="仿宋_GB2312" w:hAnsi="仿宋_GB2312" w:cs="仿宋_GB2312" w:eastAsia="仿宋_GB2312"/>
        </w:rPr>
        <w:t>9、专门面向小微企业采购：按要求提供小微企业声明函。</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铜川市人民政府办公室（铜川市数据局）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铜川市新区正阳路9号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727031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铜川市人民政府办公室经办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3183129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陕西公立工程项目管理咨询有限公司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铜川市新区铁诺南路6号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727031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王先生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0919-2182986</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铜川市财政局政府采购管理科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郭老师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0919-3281620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采购包1：496,000.00元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代理服务费收费标准：采购招标代理服务费依据国家发展计划委员会计价格（2002）1980号文件和国家发展改革委发改价格[2011]534号文件规定标准额计取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铜川市人民政府办公室（铜川市数据局）</w:t>
      </w:r>
      <w:r>
        <w:rPr>
          <w:rFonts w:ascii="仿宋_GB2312" w:hAnsi="仿宋_GB2312" w:cs="仿宋_GB2312" w:eastAsia="仿宋_GB2312"/>
        </w:rPr>
        <w:t>和</w:t>
      </w:r>
      <w:r>
        <w:rPr>
          <w:rFonts w:ascii="仿宋_GB2312" w:hAnsi="仿宋_GB2312" w:cs="仿宋_GB2312" w:eastAsia="仿宋_GB2312"/>
        </w:rPr>
        <w:t>陕西公立工程项目管理咨询有限公司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铜川市人民政府办公室（铜川市数据局）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陕西公立工程项目管理咨询有限公司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铜川市人民政府办公室（铜川市数据局）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陕西公立工程项目管理咨询有限公司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合同约定内容均已完成</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陕西公立工程项目管理咨询有限公司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陕西公立工程项目管理咨询有限公司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陕西公立工程项目管理咨询有限公司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联系人：王先生</w:t>
      </w:r>
    </w:p>
    <w:p>
      <w:pPr>
        <w:pStyle w:val="null3"/>
      </w:pPr>
      <w:r>
        <w:rPr>
          <w:rFonts w:ascii="仿宋_GB2312" w:hAnsi="仿宋_GB2312" w:cs="仿宋_GB2312" w:eastAsia="仿宋_GB2312"/>
        </w:rPr>
        <w:t>联系电话：0919-2182986</w:t>
      </w:r>
    </w:p>
    <w:p>
      <w:pPr>
        <w:pStyle w:val="null3"/>
      </w:pPr>
      <w:r>
        <w:rPr>
          <w:rFonts w:ascii="仿宋_GB2312" w:hAnsi="仿宋_GB2312" w:cs="仿宋_GB2312" w:eastAsia="仿宋_GB2312"/>
        </w:rPr>
        <w:t>地址：铜川市新区铁诺南路6号</w:t>
      </w:r>
    </w:p>
    <w:p>
      <w:pPr>
        <w:pStyle w:val="null3"/>
      </w:pPr>
      <w:r>
        <w:rPr>
          <w:rFonts w:ascii="仿宋_GB2312" w:hAnsi="仿宋_GB2312" w:cs="仿宋_GB2312" w:eastAsia="仿宋_GB2312"/>
        </w:rPr>
        <w:t>邮编：727031</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“两微一报一解读”，（“两微”指“铜川发布”微博、微信，“一报”指《铜川市人民政府公报》，“一解读”指铜川市政府政策解读）实行政府购买服务。服务期一年（自合同签订之日起）。</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496,000.00</w:t>
      </w:r>
    </w:p>
    <w:p>
      <w:pPr>
        <w:pStyle w:val="null3"/>
      </w:pPr>
      <w:r>
        <w:rPr>
          <w:rFonts w:ascii="仿宋_GB2312" w:hAnsi="仿宋_GB2312" w:cs="仿宋_GB2312" w:eastAsia="仿宋_GB2312"/>
        </w:rPr>
        <w:t>采购包最高限价（元）: 496,000.00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铜川市政府两微一报一解读</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496,000.00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标的名称：铜川市政府两微一报一解读</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rPr>
              <w:t>一、项目基本情况</w:t>
            </w:r>
          </w:p>
          <w:p>
            <w:pPr>
              <w:pStyle w:val="null3"/>
              <w:jc w:val="both"/>
            </w:pPr>
            <w:r>
              <w:rPr>
                <w:rFonts w:ascii="仿宋_GB2312" w:hAnsi="仿宋_GB2312" w:cs="仿宋_GB2312" w:eastAsia="仿宋_GB2312"/>
                <w:sz w:val="21"/>
              </w:rPr>
              <w:t>根据《中华人民共和国政府信息公开条例》及国务院办公厅、省政府办公厅关于政务公开工作的有关要求，为全面推进政务公开，精准解读政策、丰富载体形式、节约管理成本、提高财政资金使用效益，对</w:t>
            </w:r>
            <w:r>
              <w:rPr>
                <w:rFonts w:ascii="仿宋_GB2312" w:hAnsi="仿宋_GB2312" w:cs="仿宋_GB2312" w:eastAsia="仿宋_GB2312"/>
                <w:sz w:val="21"/>
              </w:rPr>
              <w:t>“</w:t>
            </w:r>
            <w:r>
              <w:rPr>
                <w:rFonts w:ascii="仿宋_GB2312" w:hAnsi="仿宋_GB2312" w:cs="仿宋_GB2312" w:eastAsia="仿宋_GB2312"/>
                <w:sz w:val="21"/>
              </w:rPr>
              <w:t>两微一报一解读</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两微</w:t>
            </w:r>
            <w:r>
              <w:rPr>
                <w:rFonts w:ascii="仿宋_GB2312" w:hAnsi="仿宋_GB2312" w:cs="仿宋_GB2312" w:eastAsia="仿宋_GB2312"/>
                <w:sz w:val="21"/>
              </w:rPr>
              <w:t>”</w:t>
            </w:r>
            <w:r>
              <w:rPr>
                <w:rFonts w:ascii="仿宋_GB2312" w:hAnsi="仿宋_GB2312" w:cs="仿宋_GB2312" w:eastAsia="仿宋_GB2312"/>
                <w:sz w:val="21"/>
              </w:rPr>
              <w:t>指</w:t>
            </w:r>
            <w:r>
              <w:rPr>
                <w:rFonts w:ascii="仿宋_GB2312" w:hAnsi="仿宋_GB2312" w:cs="仿宋_GB2312" w:eastAsia="仿宋_GB2312"/>
                <w:sz w:val="21"/>
              </w:rPr>
              <w:t>“</w:t>
            </w:r>
            <w:r>
              <w:rPr>
                <w:rFonts w:ascii="仿宋_GB2312" w:hAnsi="仿宋_GB2312" w:cs="仿宋_GB2312" w:eastAsia="仿宋_GB2312"/>
                <w:sz w:val="21"/>
              </w:rPr>
              <w:t>铜川发布</w:t>
            </w:r>
            <w:r>
              <w:rPr>
                <w:rFonts w:ascii="仿宋_GB2312" w:hAnsi="仿宋_GB2312" w:cs="仿宋_GB2312" w:eastAsia="仿宋_GB2312"/>
                <w:sz w:val="21"/>
              </w:rPr>
              <w:t>”</w:t>
            </w:r>
            <w:r>
              <w:rPr>
                <w:rFonts w:ascii="仿宋_GB2312" w:hAnsi="仿宋_GB2312" w:cs="仿宋_GB2312" w:eastAsia="仿宋_GB2312"/>
                <w:sz w:val="21"/>
              </w:rPr>
              <w:t>微博、微信，</w:t>
            </w:r>
            <w:r>
              <w:rPr>
                <w:rFonts w:ascii="仿宋_GB2312" w:hAnsi="仿宋_GB2312" w:cs="仿宋_GB2312" w:eastAsia="仿宋_GB2312"/>
                <w:sz w:val="21"/>
              </w:rPr>
              <w:t>“</w:t>
            </w:r>
            <w:r>
              <w:rPr>
                <w:rFonts w:ascii="仿宋_GB2312" w:hAnsi="仿宋_GB2312" w:cs="仿宋_GB2312" w:eastAsia="仿宋_GB2312"/>
                <w:sz w:val="21"/>
              </w:rPr>
              <w:t>一报</w:t>
            </w:r>
            <w:r>
              <w:rPr>
                <w:rFonts w:ascii="仿宋_GB2312" w:hAnsi="仿宋_GB2312" w:cs="仿宋_GB2312" w:eastAsia="仿宋_GB2312"/>
                <w:sz w:val="21"/>
              </w:rPr>
              <w:t>”</w:t>
            </w:r>
            <w:r>
              <w:rPr>
                <w:rFonts w:ascii="仿宋_GB2312" w:hAnsi="仿宋_GB2312" w:cs="仿宋_GB2312" w:eastAsia="仿宋_GB2312"/>
                <w:sz w:val="21"/>
              </w:rPr>
              <w:t>指《铜川市人民政府公报》，</w:t>
            </w:r>
            <w:r>
              <w:rPr>
                <w:rFonts w:ascii="仿宋_GB2312" w:hAnsi="仿宋_GB2312" w:cs="仿宋_GB2312" w:eastAsia="仿宋_GB2312"/>
                <w:sz w:val="21"/>
              </w:rPr>
              <w:t>“</w:t>
            </w:r>
            <w:r>
              <w:rPr>
                <w:rFonts w:ascii="仿宋_GB2312" w:hAnsi="仿宋_GB2312" w:cs="仿宋_GB2312" w:eastAsia="仿宋_GB2312"/>
                <w:sz w:val="21"/>
              </w:rPr>
              <w:t>一解读</w:t>
            </w:r>
            <w:r>
              <w:rPr>
                <w:rFonts w:ascii="仿宋_GB2312" w:hAnsi="仿宋_GB2312" w:cs="仿宋_GB2312" w:eastAsia="仿宋_GB2312"/>
                <w:sz w:val="21"/>
              </w:rPr>
              <w:t>”</w:t>
            </w:r>
            <w:r>
              <w:rPr>
                <w:rFonts w:ascii="仿宋_GB2312" w:hAnsi="仿宋_GB2312" w:cs="仿宋_GB2312" w:eastAsia="仿宋_GB2312"/>
                <w:sz w:val="21"/>
              </w:rPr>
              <w:t>指铜川市政府政策解读）实行政府购买服务。</w:t>
            </w:r>
            <w:r>
              <w:rPr>
                <w:rFonts w:ascii="仿宋_GB2312" w:hAnsi="仿宋_GB2312" w:cs="仿宋_GB2312" w:eastAsia="仿宋_GB2312"/>
                <w:sz w:val="21"/>
              </w:rPr>
              <w:t>“</w:t>
            </w:r>
            <w:r>
              <w:rPr>
                <w:rFonts w:ascii="仿宋_GB2312" w:hAnsi="仿宋_GB2312" w:cs="仿宋_GB2312" w:eastAsia="仿宋_GB2312"/>
                <w:sz w:val="21"/>
              </w:rPr>
              <w:t>两微一报一解读</w:t>
            </w:r>
            <w:r>
              <w:rPr>
                <w:rFonts w:ascii="仿宋_GB2312" w:hAnsi="仿宋_GB2312" w:cs="仿宋_GB2312" w:eastAsia="仿宋_GB2312"/>
                <w:sz w:val="21"/>
              </w:rPr>
              <w:t>”</w:t>
            </w:r>
            <w:r>
              <w:rPr>
                <w:rFonts w:ascii="仿宋_GB2312" w:hAnsi="仿宋_GB2312" w:cs="仿宋_GB2312" w:eastAsia="仿宋_GB2312"/>
                <w:sz w:val="21"/>
              </w:rPr>
              <w:t>是铜川市政府政务公开的重要平台，对保障人民群众获取政府信息、提高政府工作透明度、增强政府公信力、加快法治政府建设具有重要意义。</w:t>
            </w:r>
          </w:p>
          <w:p>
            <w:pPr>
              <w:pStyle w:val="null3"/>
              <w:jc w:val="both"/>
            </w:pPr>
            <w:r>
              <w:rPr>
                <w:rFonts w:ascii="仿宋_GB2312" w:hAnsi="仿宋_GB2312" w:cs="仿宋_GB2312" w:eastAsia="仿宋_GB2312"/>
              </w:rPr>
              <w:t>二、</w:t>
            </w:r>
            <w:r>
              <w:rPr>
                <w:rFonts w:ascii="仿宋_GB2312" w:hAnsi="仿宋_GB2312" w:cs="仿宋_GB2312" w:eastAsia="仿宋_GB2312"/>
              </w:rPr>
              <w:t>采购内容要求</w:t>
            </w:r>
          </w:p>
          <w:p>
            <w:pPr>
              <w:pStyle w:val="null3"/>
              <w:jc w:val="both"/>
            </w:pPr>
            <w:r>
              <w:rPr>
                <w:rFonts w:ascii="仿宋_GB2312" w:hAnsi="仿宋_GB2312" w:cs="仿宋_GB2312" w:eastAsia="仿宋_GB2312"/>
              </w:rPr>
              <w:t>1.“</w:t>
            </w:r>
            <w:r>
              <w:rPr>
                <w:rFonts w:ascii="仿宋_GB2312" w:hAnsi="仿宋_GB2312" w:cs="仿宋_GB2312" w:eastAsia="仿宋_GB2312"/>
              </w:rPr>
              <w:t>铜川发布</w:t>
            </w:r>
            <w:r>
              <w:rPr>
                <w:rFonts w:ascii="仿宋_GB2312" w:hAnsi="仿宋_GB2312" w:cs="仿宋_GB2312" w:eastAsia="仿宋_GB2312"/>
              </w:rPr>
              <w:t>”</w:t>
            </w:r>
            <w:r>
              <w:rPr>
                <w:rFonts w:ascii="仿宋_GB2312" w:hAnsi="仿宋_GB2312" w:cs="仿宋_GB2312" w:eastAsia="仿宋_GB2312"/>
              </w:rPr>
              <w:t>官方微博：为铜川市人民政府官方微博，发布权威消息，坚持正面引导，树立良好形象，回应公众关切。全年发布信息不少于</w:t>
            </w:r>
            <w:r>
              <w:rPr>
                <w:rFonts w:ascii="仿宋_GB2312" w:hAnsi="仿宋_GB2312" w:cs="仿宋_GB2312" w:eastAsia="仿宋_GB2312"/>
              </w:rPr>
              <w:t>1500</w:t>
            </w:r>
            <w:r>
              <w:rPr>
                <w:rFonts w:ascii="仿宋_GB2312" w:hAnsi="仿宋_GB2312" w:cs="仿宋_GB2312" w:eastAsia="仿宋_GB2312"/>
              </w:rPr>
              <w:t>条，每日不少于</w:t>
            </w:r>
            <w:r>
              <w:rPr>
                <w:rFonts w:ascii="仿宋_GB2312" w:hAnsi="仿宋_GB2312" w:cs="仿宋_GB2312" w:eastAsia="仿宋_GB2312"/>
              </w:rPr>
              <w:t>4</w:t>
            </w:r>
            <w:r>
              <w:rPr>
                <w:rFonts w:ascii="仿宋_GB2312" w:hAnsi="仿宋_GB2312" w:cs="仿宋_GB2312" w:eastAsia="仿宋_GB2312"/>
              </w:rPr>
              <w:t>条，坚持每日更新、实时发布（特殊情况除外，由双方协商确定），原创信息不少于</w:t>
            </w:r>
            <w:r>
              <w:rPr>
                <w:rFonts w:ascii="仿宋_GB2312" w:hAnsi="仿宋_GB2312" w:cs="仿宋_GB2312" w:eastAsia="仿宋_GB2312"/>
              </w:rPr>
              <w:t>300</w:t>
            </w:r>
            <w:r>
              <w:rPr>
                <w:rFonts w:ascii="仿宋_GB2312" w:hAnsi="仿宋_GB2312" w:cs="仿宋_GB2312" w:eastAsia="仿宋_GB2312"/>
              </w:rPr>
              <w:t>条；</w:t>
            </w:r>
          </w:p>
          <w:p>
            <w:pPr>
              <w:pStyle w:val="null3"/>
              <w:jc w:val="both"/>
            </w:pPr>
            <w:r>
              <w:rPr>
                <w:rFonts w:ascii="仿宋_GB2312" w:hAnsi="仿宋_GB2312" w:cs="仿宋_GB2312" w:eastAsia="仿宋_GB2312"/>
              </w:rPr>
              <w:t>2.“</w:t>
            </w:r>
            <w:r>
              <w:rPr>
                <w:rFonts w:ascii="仿宋_GB2312" w:hAnsi="仿宋_GB2312" w:cs="仿宋_GB2312" w:eastAsia="仿宋_GB2312"/>
              </w:rPr>
              <w:t>铜川发布</w:t>
            </w:r>
            <w:r>
              <w:rPr>
                <w:rFonts w:ascii="仿宋_GB2312" w:hAnsi="仿宋_GB2312" w:cs="仿宋_GB2312" w:eastAsia="仿宋_GB2312"/>
              </w:rPr>
              <w:t>”</w:t>
            </w:r>
            <w:r>
              <w:rPr>
                <w:rFonts w:ascii="仿宋_GB2312" w:hAnsi="仿宋_GB2312" w:cs="仿宋_GB2312" w:eastAsia="仿宋_GB2312"/>
              </w:rPr>
              <w:t>微信公众号：为铜川市人民政府官方微信公众号，发布权威消息，坚持正面引导，树立良好形象，回应公众关切。全年发布信息不少于</w:t>
            </w:r>
            <w:r>
              <w:rPr>
                <w:rFonts w:ascii="仿宋_GB2312" w:hAnsi="仿宋_GB2312" w:cs="仿宋_GB2312" w:eastAsia="仿宋_GB2312"/>
              </w:rPr>
              <w:t>1500</w:t>
            </w:r>
            <w:r>
              <w:rPr>
                <w:rFonts w:ascii="仿宋_GB2312" w:hAnsi="仿宋_GB2312" w:cs="仿宋_GB2312" w:eastAsia="仿宋_GB2312"/>
              </w:rPr>
              <w:t>条</w:t>
            </w:r>
            <w:r>
              <w:rPr>
                <w:rFonts w:ascii="仿宋_GB2312" w:hAnsi="仿宋_GB2312" w:cs="仿宋_GB2312" w:eastAsia="仿宋_GB2312"/>
              </w:rPr>
              <w:t>,</w:t>
            </w:r>
            <w:r>
              <w:rPr>
                <w:rFonts w:ascii="仿宋_GB2312" w:hAnsi="仿宋_GB2312" w:cs="仿宋_GB2312" w:eastAsia="仿宋_GB2312"/>
              </w:rPr>
              <w:t>坚持每日更新（特殊情况除外，由双方协商确定），原创信息不少于</w:t>
            </w:r>
            <w:r>
              <w:rPr>
                <w:rFonts w:ascii="仿宋_GB2312" w:hAnsi="仿宋_GB2312" w:cs="仿宋_GB2312" w:eastAsia="仿宋_GB2312"/>
              </w:rPr>
              <w:t>300</w:t>
            </w:r>
            <w:r>
              <w:rPr>
                <w:rFonts w:ascii="仿宋_GB2312" w:hAnsi="仿宋_GB2312" w:cs="仿宋_GB2312" w:eastAsia="仿宋_GB2312"/>
              </w:rPr>
              <w:t>条；</w:t>
            </w:r>
          </w:p>
          <w:p>
            <w:pPr>
              <w:pStyle w:val="null3"/>
              <w:jc w:val="both"/>
            </w:pPr>
            <w:r>
              <w:rPr>
                <w:rFonts w:ascii="仿宋_GB2312" w:hAnsi="仿宋_GB2312" w:cs="仿宋_GB2312" w:eastAsia="仿宋_GB2312"/>
              </w:rPr>
              <w:t>3.</w:t>
            </w:r>
            <w:r>
              <w:rPr>
                <w:rFonts w:ascii="仿宋_GB2312" w:hAnsi="仿宋_GB2312" w:cs="仿宋_GB2312" w:eastAsia="仿宋_GB2312"/>
              </w:rPr>
              <w:t>《铜川市人民政府公报》：是刊登政府规章和规范性文件的标准文本，全年编印</w:t>
            </w:r>
            <w:r>
              <w:rPr>
                <w:rFonts w:ascii="仿宋_GB2312" w:hAnsi="仿宋_GB2312" w:cs="仿宋_GB2312" w:eastAsia="仿宋_GB2312"/>
              </w:rPr>
              <w:t>4</w:t>
            </w:r>
            <w:r>
              <w:rPr>
                <w:rFonts w:ascii="仿宋_GB2312" w:hAnsi="仿宋_GB2312" w:cs="仿宋_GB2312" w:eastAsia="仿宋_GB2312"/>
              </w:rPr>
              <w:t>期，每季度</w:t>
            </w:r>
            <w:r>
              <w:rPr>
                <w:rFonts w:ascii="仿宋_GB2312" w:hAnsi="仿宋_GB2312" w:cs="仿宋_GB2312" w:eastAsia="仿宋_GB2312"/>
              </w:rPr>
              <w:t>1</w:t>
            </w:r>
            <w:r>
              <w:rPr>
                <w:rFonts w:ascii="仿宋_GB2312" w:hAnsi="仿宋_GB2312" w:cs="仿宋_GB2312" w:eastAsia="仿宋_GB2312"/>
              </w:rPr>
              <w:t>期。</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铜川市政府政策解读：是推动政策落实、主动解疑释惑、回应社会关切、积极引导舆论的重要途径之一，全年举办</w:t>
            </w:r>
            <w:r>
              <w:rPr>
                <w:rFonts w:ascii="仿宋_GB2312" w:hAnsi="仿宋_GB2312" w:cs="仿宋_GB2312" w:eastAsia="仿宋_GB2312"/>
                <w:sz w:val="21"/>
              </w:rPr>
              <w:t>4</w:t>
            </w:r>
            <w:r>
              <w:rPr>
                <w:rFonts w:ascii="仿宋_GB2312" w:hAnsi="仿宋_GB2312" w:cs="仿宋_GB2312" w:eastAsia="仿宋_GB2312"/>
                <w:sz w:val="21"/>
              </w:rPr>
              <w:t>期以上，围绕市政府重大决策部署、市政府常务会议议定事项，市政府规章、规范性文件等进行政策解读，通过专家学者、行业领导深入解析，传递政策意图，营造政府、媒体和公众良性互动的舆论环境，促进政府有效施政。议题由市政府办公室确定，乙方负责邀请确定解读专家、行业领导、政策解读策划、脚本制作、专题片拍摄、剪辑、制作，在相关媒体进行宣传，对政策解读效应、反响进行评估等方面工作。</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1年（自合同签订之日起）</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合同服务期满4个月后，甲方收到乙方提供的发票</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合同服务期满8个月后，甲方收到乙方提供的发票</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35.00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合同服务期限届满，甲方收到乙方提供的发票</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35.00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1.乙方未按合同要求向甲方提供服务内容，甲方有权会同监督机构终止合同，并对乙方违约行为进行追究，同时按政府采购法有关规定进行相应处罚。 2.除甲方提供的素材或信息资料外，乙方确保所交付的所有服务未侵犯任何第三方合法权益，否则因此给甲方或第三方造成的恶劣影响和一切损失，由乙方自行承担相应法律责任和经济赔偿。3.因一方不履行本合同规定的义务，或严重违反本合同，造成该业务无法运行或无法达到本合同规定的目的，视作违约方单方违约，守约方有权向违约方索赔并单方面终止本合同。 4.因乙方原因未按规定时间推送消息、完成公报、政策解读，应按未按规定执行部分服务对应金额的2‰/次向甲方支付违约金，延迟推送超过三次时，甲方有权单方面解除合同，并要求乙方支付合同总价款的2%作为违约金。 5.因乙方工作失误造成必须删除“铜川发布”已发布消息、公报、政策解读存在严重问题或被中、省、市有关部门通报的，甲方有权对乙方进行酌情扣款。服务期全年失误总量超过3次，将取消乙方次年进入候选供应商范围的资格。 6.因乙方工作失误，造成公报存在错字、漏字、别字的，甲方有权对乙方进行扣款。发现1处错误扣除500元，3处错误以上算1次失误，扣除5000元。服务期内，失误总量超过3次的，将取消乙方次年进入候选供应商范围的资格。 7.因乙方拍摄角度、机位、光线、视角等工作失误造成政府解读视频效果不理想的，甲方有权要求重新拍摄，并扣除2000元。 8.乙方应具有甲方要求的相关专业资质，并有义务根据合同约定为甲方提供完整服务，乙方为甲方提供的专职工作人员（其中1名工作人员在合同履约地工作），经甲方认定不能满足服务需求时，甲方有权提出更换要求，乙方应在接到甲方通知后及时作出调整。 如双方就本合同条款内容或其执行发生任何争议，应尽可能友好协商解决，协商未能解决的，则任何一方均可将争议提交原告所在地有管辖权的人民法院通过诉讼方式解决。</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参与的供应商（联合体）服务全部由符合政策要求的小微企业承接。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合格供应商</w:t>
            </w:r>
          </w:p>
        </w:tc>
        <w:tc>
          <w:tcPr>
            <w:tcW w:type="dxa" w:w="3322"/>
          </w:tcPr>
          <w:p>
            <w:pPr>
              <w:pStyle w:val="null3"/>
            </w:pPr>
            <w:r>
              <w:rPr>
                <w:rFonts w:ascii="仿宋_GB2312" w:hAnsi="仿宋_GB2312" w:cs="仿宋_GB2312" w:eastAsia="仿宋_GB2312"/>
              </w:rPr>
              <w:t>①如供应商是企业（包括合伙企业），应提供在工商部门注册的有效“企业法人营业执照”或“营业执照”； ②如供应商是事业单位，应提供有效的“事业单位法人证书”； ③如供应商是为企业专业服务机构的，应提供执业许可证等证明文件； ④如供应商是个体工商户，应提供有效的“个体工商户营业执照”； ⑤如供应商为自然人，应提供有效的自然人身份证明。 备注：上述条款的前置条件为必须在“陕西省政府采购网”中“供应商库”备案审核通过的供应商。</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法人身份证明或授权委托</w:t>
            </w:r>
          </w:p>
        </w:tc>
        <w:tc>
          <w:tcPr>
            <w:tcW w:type="dxa" w:w="3322"/>
          </w:tcPr>
          <w:p>
            <w:pPr>
              <w:pStyle w:val="null3"/>
            </w:pPr>
            <w:r>
              <w:rPr>
                <w:rFonts w:ascii="仿宋_GB2312" w:hAnsi="仿宋_GB2312" w:cs="仿宋_GB2312" w:eastAsia="仿宋_GB2312"/>
              </w:rPr>
              <w:t>法定代表人参加投标须出具法定代表人身份证明（并附有效证件），被授权代理人参加投标须出具法定代表人授权书及被授权人有效证件。</w:t>
            </w:r>
          </w:p>
        </w:tc>
        <w:tc>
          <w:tcPr>
            <w:tcW w:type="dxa" w:w="1661"/>
          </w:tcPr>
          <w:p>
            <w:pPr>
              <w:pStyle w:val="null3"/>
            </w:pPr>
            <w:r>
              <w:rPr>
                <w:rFonts w:ascii="仿宋_GB2312" w:hAnsi="仿宋_GB2312" w:cs="仿宋_GB2312" w:eastAsia="仿宋_GB2312"/>
              </w:rPr>
              <w:t>供应商应提交的相关资格证明材料.docx 法定代表人身份证明书.docx 法定代表人授权委托书.docx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供应商信誉</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失信主体名单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供应商提供2023年的财务审计报告(成立时间至提交响应文件截止时间不足年的可提供成立后任意时段的资产负债表)，或其基本存款账户开户银行投标截止前6个月内出具的资信或资金证明(复印件加盖供应商公章)。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履行能力</w:t>
            </w:r>
          </w:p>
        </w:tc>
        <w:tc>
          <w:tcPr>
            <w:tcW w:type="dxa" w:w="3322"/>
          </w:tcPr>
          <w:p>
            <w:pPr>
              <w:pStyle w:val="null3"/>
            </w:pPr>
            <w:r>
              <w:rPr>
                <w:rFonts w:ascii="仿宋_GB2312" w:hAnsi="仿宋_GB2312" w:cs="仿宋_GB2312" w:eastAsia="仿宋_GB2312"/>
              </w:rPr>
              <w:t>具有履行合同所必需的设备和专业技术能力，提供证明材料或书面承诺并加盖公章。</w:t>
            </w:r>
          </w:p>
        </w:tc>
        <w:tc>
          <w:tcPr>
            <w:tcW w:type="dxa" w:w="1661"/>
          </w:tcPr>
          <w:p>
            <w:pPr>
              <w:pStyle w:val="null3"/>
            </w:pPr>
            <w:r>
              <w:rPr>
                <w:rFonts w:ascii="仿宋_GB2312" w:hAnsi="仿宋_GB2312" w:cs="仿宋_GB2312" w:eastAsia="仿宋_GB2312"/>
              </w:rPr>
              <w:t>技术服务合同条款及其他商务要求应答表.docx 供应商应提交的相关资格证明材料.docx 供应商类似项目业绩一览表.docx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无重大违法记录声明</w:t>
            </w:r>
          </w:p>
        </w:tc>
        <w:tc>
          <w:tcPr>
            <w:tcW w:type="dxa" w:w="3322"/>
          </w:tcPr>
          <w:p>
            <w:pPr>
              <w:pStyle w:val="null3"/>
            </w:pPr>
            <w:r>
              <w:rPr>
                <w:rFonts w:ascii="仿宋_GB2312" w:hAnsi="仿宋_GB2312" w:cs="仿宋_GB2312" w:eastAsia="仿宋_GB2312"/>
              </w:rPr>
              <w:t>参加政府采购活动近三年内，在经营活动中没有重大违法记录，提供书面声明。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提供投标文件递交截止时间前1年内任意1个月已缴纳完税凭证（任意税种）或税务机关开具的完税证明（任意税种）。</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提供投标文件递交截止时间前1年内任意1个月已缴存的任意时段的社会保障资金缴存单据或社保机构开具的社会保险参保缴费情况证明。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专门面向小微企业采购</w:t>
            </w:r>
          </w:p>
        </w:tc>
        <w:tc>
          <w:tcPr>
            <w:tcW w:type="dxa" w:w="3322"/>
          </w:tcPr>
          <w:p>
            <w:pPr>
              <w:pStyle w:val="null3"/>
            </w:pPr>
            <w:r>
              <w:rPr>
                <w:rFonts w:ascii="仿宋_GB2312" w:hAnsi="仿宋_GB2312" w:cs="仿宋_GB2312" w:eastAsia="仿宋_GB2312"/>
              </w:rPr>
              <w:t>按要求提供小微企业声明函。</w:t>
            </w:r>
          </w:p>
        </w:tc>
        <w:tc>
          <w:tcPr>
            <w:tcW w:type="dxa" w:w="1661"/>
          </w:tcPr>
          <w:p>
            <w:pPr>
              <w:pStyle w:val="null3"/>
            </w:pPr>
            <w:r>
              <w:rPr>
                <w:rFonts w:ascii="仿宋_GB2312" w:hAnsi="仿宋_GB2312" w:cs="仿宋_GB2312" w:eastAsia="仿宋_GB2312"/>
              </w:rPr>
              <w:t>中小企业声明函</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响应文件格式、签字及盖章</w:t>
            </w:r>
          </w:p>
        </w:tc>
        <w:tc>
          <w:tcPr>
            <w:tcW w:type="dxa" w:w="3322"/>
          </w:tcPr>
          <w:p>
            <w:pPr>
              <w:pStyle w:val="null3"/>
            </w:pPr>
            <w:r>
              <w:rPr>
                <w:rFonts w:ascii="仿宋_GB2312" w:hAnsi="仿宋_GB2312" w:cs="仿宋_GB2312" w:eastAsia="仿宋_GB2312"/>
              </w:rPr>
              <w:t>响应文件格式、签字及盖章符合磋商文件要求</w:t>
            </w:r>
          </w:p>
        </w:tc>
        <w:tc>
          <w:tcPr>
            <w:tcW w:type="dxa" w:w="1661"/>
          </w:tcPr>
          <w:p>
            <w:pPr>
              <w:pStyle w:val="null3"/>
            </w:pPr>
            <w:r>
              <w:rPr>
                <w:rFonts w:ascii="仿宋_GB2312" w:hAnsi="仿宋_GB2312" w:cs="仿宋_GB2312" w:eastAsia="仿宋_GB2312"/>
              </w:rPr>
              <w:t>技术服务合同条款及其他商务要求应答表.docx 供应商类似项目业绩一览表.docx 中小企业声明函 报价表 响应文件封面 法定代表人身份证明书.docx 供应商应提交的相关资格证明材料.docx 残疾人福利性单位声明函 服务方案 标的清单 响应函 法定代表人授权委托书.docx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项目理解</w:t>
            </w:r>
          </w:p>
        </w:tc>
        <w:tc>
          <w:tcPr>
            <w:tcW w:type="dxa" w:w="2492"/>
          </w:tcPr>
          <w:p>
            <w:pPr>
              <w:pStyle w:val="null3"/>
            </w:pPr>
            <w:r>
              <w:rPr>
                <w:rFonts w:ascii="仿宋_GB2312" w:hAnsi="仿宋_GB2312" w:cs="仿宋_GB2312" w:eastAsia="仿宋_GB2312"/>
              </w:rPr>
              <w:t>根据供应商对本项目的认识、目标、服务内容分析、项目需求理解等情况进行综合评分： （1）理解准确、详细清晰，内容全面，得10分； （2）理解比较准确，目标较为清晰的，得6分； （3）理解不够准确，内容不全面，得2分； （4）未提供不得分。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服务实施方案</w:t>
            </w:r>
          </w:p>
        </w:tc>
        <w:tc>
          <w:tcPr>
            <w:tcW w:type="dxa" w:w="2492"/>
          </w:tcPr>
          <w:p>
            <w:pPr>
              <w:pStyle w:val="null3"/>
            </w:pPr>
            <w:r>
              <w:rPr>
                <w:rFonts w:ascii="仿宋_GB2312" w:hAnsi="仿宋_GB2312" w:cs="仿宋_GB2312" w:eastAsia="仿宋_GB2312"/>
              </w:rPr>
              <w:t>供应商提供具体的服务方案，服务内容应符合采购需求。 （1）服务实施方案考虑全面符合项目需求、内容丰富、针对性强，计划和安排合理明确、详细、周全，可行性较强，得10分； （2）服务实施方案考虑较全面符合项目需求、内容较丰富、针对性较强，计划和安排较合理明确、详细、周全，可行性较强，得6分； （3）服务实施方案不全面、内容不丰富、针对性较差，计划和安排不合理明确、不详细，可行性较差，得2分； （4）服务实施方案不符合项目需求、没有针对性，计划和安排不合理，或未提供的，不得分。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服务质量保障措施</w:t>
            </w:r>
          </w:p>
        </w:tc>
        <w:tc>
          <w:tcPr>
            <w:tcW w:type="dxa" w:w="2492"/>
          </w:tcPr>
          <w:p>
            <w:pPr>
              <w:pStyle w:val="null3"/>
            </w:pPr>
            <w:r>
              <w:rPr>
                <w:rFonts w:ascii="仿宋_GB2312" w:hAnsi="仿宋_GB2312" w:cs="仿宋_GB2312" w:eastAsia="仿宋_GB2312"/>
              </w:rPr>
              <w:t>根据供应商针对本项目提供的服务质量保障措施进行综合评分： （1）方案完整、详细、可行性强的得10分； （2）方案基本完整、可行的得6分； （3）方案欠缺、可行性一般的得2分； （4）未提供不得分。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（1）应急预案安全保障措施全面合理，切实可行，应对措施科学、响应能力强的，得10分； （2）应急预案安全保障措施较全面，有可行性，应对措施较科学，响应能力较强的，得6分； （3）应急预案安全保障措施不够全面，应对措施能力较弱的，得2分； （4）未提供不得分。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根据供应商项目实施团队的组织结构和人员配备进行打分： （1）组织管理机构完善、合理，团队人员构成专业性强、经验丰富符合项目特点的，得10分； （2）组织管理机构和人员构成合理，有一定专业性和相关经验的，得6分； （3）组织管理机构和人员构成不合理，缺乏专业性和相关经验的，得2分； （4）未提供不得分。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企业业绩</w:t>
            </w:r>
          </w:p>
        </w:tc>
        <w:tc>
          <w:tcPr>
            <w:tcW w:type="dxa" w:w="2492"/>
          </w:tcPr>
          <w:p>
            <w:pPr>
              <w:pStyle w:val="null3"/>
            </w:pPr>
            <w:r>
              <w:rPr>
                <w:rFonts w:ascii="仿宋_GB2312" w:hAnsi="仿宋_GB2312" w:cs="仿宋_GB2312" w:eastAsia="仿宋_GB2312"/>
              </w:rPr>
              <w:t>供应商具备近两年（自2023年1月1日以来，以合同签订时间为准）签订地市级以上政府单位或省直单位类似项目业绩的，每提供一项业绩合同扫描件得2分，最多得10分，未提供不得分。（合同扫描件至少包含合同首页、采购金额页、签字盖章页，否则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供应商类似项目业绩一览表.docx</w:t>
            </w:r>
          </w:p>
        </w:tc>
      </w:tr>
      <w:tr>
        <w:tc>
          <w:tcPr>
            <w:tcW w:type="dxa" w:w="831"/>
            <w:vMerge/>
          </w:tcPr>
          <w:p/>
        </w:tc>
        <w:tc>
          <w:tcPr>
            <w:tcW w:type="dxa" w:w="1661"/>
          </w:tcPr>
          <w:p>
            <w:pPr>
              <w:pStyle w:val="null3"/>
            </w:pPr>
            <w:r>
              <w:rPr>
                <w:rFonts w:ascii="仿宋_GB2312" w:hAnsi="仿宋_GB2312" w:cs="仿宋_GB2312" w:eastAsia="仿宋_GB2312"/>
              </w:rPr>
              <w:t>企业资质</w:t>
            </w:r>
          </w:p>
        </w:tc>
        <w:tc>
          <w:tcPr>
            <w:tcW w:type="dxa" w:w="2492"/>
          </w:tcPr>
          <w:p>
            <w:pPr>
              <w:pStyle w:val="null3"/>
            </w:pPr>
            <w:r>
              <w:rPr>
                <w:rFonts w:ascii="仿宋_GB2312" w:hAnsi="仿宋_GB2312" w:cs="仿宋_GB2312" w:eastAsia="仿宋_GB2312"/>
              </w:rPr>
              <w:t>（1）供应商具备互联网新闻信息服务许可证的，得5分，未提供不得分； （2）供应商具备ISO14001环境管理体系认证、ISO45001职业健康安全管理体系、ISO9001质量管理体系、ISO20000信息技术服务管理体系认证、ISO27001信息安全管理认证，每提供1项得1分，未提供不得分。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团队能力</w:t>
            </w:r>
          </w:p>
        </w:tc>
        <w:tc>
          <w:tcPr>
            <w:tcW w:type="dxa" w:w="2492"/>
          </w:tcPr>
          <w:p>
            <w:pPr>
              <w:pStyle w:val="null3"/>
            </w:pPr>
            <w:r>
              <w:rPr>
                <w:rFonts w:ascii="仿宋_GB2312" w:hAnsi="仿宋_GB2312" w:cs="仿宋_GB2312" w:eastAsia="仿宋_GB2312"/>
              </w:rPr>
              <w:t>供应商拟投入项目组人员具备新闻类专业职称的，每提供 1个高级职称得4分，每提供1个中级职称得2分，最多得10分，中级以下或未提供不得分。 注：需提供人员职称证书和为其缴纳响应文件递交截止时间前近三个月内任意一月的社保证明。</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企业荣誉</w:t>
            </w:r>
          </w:p>
        </w:tc>
        <w:tc>
          <w:tcPr>
            <w:tcW w:type="dxa" w:w="2492"/>
          </w:tcPr>
          <w:p>
            <w:pPr>
              <w:pStyle w:val="null3"/>
            </w:pPr>
            <w:r>
              <w:rPr>
                <w:rFonts w:ascii="仿宋_GB2312" w:hAnsi="仿宋_GB2312" w:cs="仿宋_GB2312" w:eastAsia="仿宋_GB2312"/>
              </w:rPr>
              <w:t>2023年以来，供应商新闻策划类作品获得国家级荣誉奖项的，每提供一例得4分；获得省级荣誉奖项的，每提供一例得2分。最高得10分，未提供不得分。 注：以获得荣誉时间为准，响应文件中应附荣誉证书扫描件或其他相关证明。</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满足磋商文件要求且报价最低的投标报价为评标基准价，其价格分为满分10分。 报价得分=（评标基准价/投标报价）*价格权重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详见附件：法定代表人身份证明书.docx</w:t>
      </w:r>
    </w:p>
    <w:p>
      <w:pPr>
        <w:pStyle w:val="null3"/>
        <w:ind w:firstLine="960"/>
      </w:pPr>
      <w:r>
        <w:rPr>
          <w:rFonts w:ascii="仿宋_GB2312" w:hAnsi="仿宋_GB2312" w:cs="仿宋_GB2312" w:eastAsia="仿宋_GB2312"/>
        </w:rPr>
        <w:t>详见附件：法定代表人授权委托书.docx</w:t>
      </w:r>
    </w:p>
    <w:p>
      <w:pPr>
        <w:pStyle w:val="null3"/>
        <w:ind w:firstLine="960"/>
      </w:pPr>
      <w:r>
        <w:rPr>
          <w:rFonts w:ascii="仿宋_GB2312" w:hAnsi="仿宋_GB2312" w:cs="仿宋_GB2312" w:eastAsia="仿宋_GB2312"/>
        </w:rPr>
        <w:t>详见附件：供应商类似项目业绩一览表.docx</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详见附件：技术服务合同条款及其他商务要求应答表.docx</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详见附件：采购合同（范本）.docx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