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版本号：YMD-2025085F-0120250613001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铜川市困境儿童“身心工程”购买服务项目（二次）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YMD-2025085F-01</w:t>
      </w:r>
      <w:r>
        <w:br/>
      </w:r>
      <w:r>
        <w:br/>
      </w:r>
      <w:r>
        <w:br/>
      </w:r>
    </w:p>
    <w:p>
      <w:pPr>
        <w:pStyle w:val="null3"/>
        <w:jc w:val="center"/>
        <w:outlineLvl w:val="2"/>
      </w:pPr>
      <w:r>
        <w:rPr>
          <w:rFonts w:ascii="仿宋_GB2312" w:hAnsi="仿宋_GB2312" w:cs="仿宋_GB2312" w:eastAsia="仿宋_GB2312"/>
          <w:sz w:val="28"/>
          <w:b/>
        </w:rPr>
        <w:t>铜川市民政局</w:t>
      </w:r>
    </w:p>
    <w:p>
      <w:pPr>
        <w:pStyle w:val="null3"/>
        <w:jc w:val="center"/>
        <w:outlineLvl w:val="2"/>
      </w:pPr>
      <w:r>
        <w:rPr>
          <w:rFonts w:ascii="仿宋_GB2312" w:hAnsi="仿宋_GB2312" w:cs="仿宋_GB2312" w:eastAsia="仿宋_GB2312"/>
          <w:sz w:val="28"/>
          <w:b/>
        </w:rPr>
        <w:t>永明项目管理有限公司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永明项目管理有限公司</w:t>
      </w:r>
      <w:r>
        <w:rPr>
          <w:rFonts w:ascii="仿宋_GB2312" w:hAnsi="仿宋_GB2312" w:cs="仿宋_GB2312" w:eastAsia="仿宋_GB2312"/>
        </w:rPr>
        <w:t>（以下简称“代理机构”）受</w:t>
      </w:r>
      <w:r>
        <w:rPr>
          <w:rFonts w:ascii="仿宋_GB2312" w:hAnsi="仿宋_GB2312" w:cs="仿宋_GB2312" w:eastAsia="仿宋_GB2312"/>
        </w:rPr>
        <w:t>铜川市民政局</w:t>
      </w:r>
      <w:r>
        <w:rPr>
          <w:rFonts w:ascii="仿宋_GB2312" w:hAnsi="仿宋_GB2312" w:cs="仿宋_GB2312" w:eastAsia="仿宋_GB2312"/>
        </w:rPr>
        <w:t>委托，拟对</w:t>
      </w:r>
      <w:r>
        <w:rPr>
          <w:rFonts w:ascii="仿宋_GB2312" w:hAnsi="仿宋_GB2312" w:cs="仿宋_GB2312" w:eastAsia="仿宋_GB2312"/>
        </w:rPr>
        <w:t>铜川市困境儿童“身心工程”购买服务项目（二次）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YMD-2025085F-01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铜川市困境儿童“身心工程”购买服务项目（二次）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组织开展全市困境儿童心理健康关爱服务培训，对全市孤困儿童进行走访排查、心理评估、提供专业化心理关爱服务，建立孤困儿童心理健康档案，开展关爱服务宣传等活动，加强对孤困儿童安全守护，走访中关注其监护状况、生活保障、身心健康等，发现问题及时记录反馈，开展安全教育和风险排查，加强政策宣传；针对不同类型孤困儿童提供差异化服务，最大限度保障儿童权益，综合运用社会工作方法链接资源、协同相关部门提供物质帮助、权益保护和学业指导等支持。 以“监测—保护—关爱”全流程服务体系为基础，建立覆盖全市在册孤困儿童心理健康档案，开展心理健康筛查，及时发现高风险群体，开展干预治疗，促进困境儿童身心健康发展，增强其心理韧性与社会适应能力。 具有相关孤困儿童关爱服务项目经验，优先考虑非营利组织或社会服务机构；符合政府采购法规定的供应商条件（合法注册、无不良记录等）。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合法注册的法人、其他组织或自然人，具有独立承担民事责任的能力，提供营业执照（或事业法人证）、组织机构代码证、税务登记证或统一社会信用代码的营业执照等证明文件，申请人为自然人的提供身份证；</w:t>
      </w:r>
    </w:p>
    <w:p>
      <w:pPr>
        <w:pStyle w:val="null3"/>
      </w:pPr>
      <w:r>
        <w:rPr>
          <w:rFonts w:ascii="仿宋_GB2312" w:hAnsi="仿宋_GB2312" w:cs="仿宋_GB2312" w:eastAsia="仿宋_GB2312"/>
        </w:rPr>
        <w:t>2、法定代表人或授权委托人：供应商应授权合法的人员参加投标全过程，其中法定代表人直接参加投标的，须出具法定代表人身份证明及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3、企业信誉：供应商不得为“信用中国” 网站（www.creditchina.gov.cn）中列入失信被执行人和重大税收违失信主体的供应商，不得为中国政府采购网（www.ccgp.gov.cn）政府采购严重违法失信行为记录名单中被财政部门禁止参加政府采购活动的供应商（以当天查询结果为准）；</w:t>
      </w:r>
    </w:p>
    <w:p>
      <w:pPr>
        <w:pStyle w:val="null3"/>
      </w:pPr>
      <w:r>
        <w:rPr>
          <w:rFonts w:ascii="仿宋_GB2312" w:hAnsi="仿宋_GB2312" w:cs="仿宋_GB2312" w:eastAsia="仿宋_GB2312"/>
        </w:rPr>
        <w:t>4、其他要求：①财务状况报告：提供2023年度或2024年度的经审计的财务报告（至少包括资产负债表和利润表，成立时间至提交响应文件截止时间不足一年的可提供成立后任意时段的资产负债表），或开标前六个月内其基本存款账户开户银行出具的资信证明； ②税收缴纳证明：提供投标人自开标前一年内至少一个月已缴纳的增值税或营业税或企业所得税的凭据或税务机关开具的完税证明；依法免税的应提供相关文件证明； ③社会保障资金缴纳证明：提供投标人自开标前一年内至少一个月的社会保险参保缴费情况证明，依法不需要缴纳社会保障资金的单位应提供相关证明材料； ④具有履行合同所必需的设备和专业技术能力的承诺； ⑤提供参加本次政府采购活动前三年内在经营活动中没有重大违法记录的书面声明。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铜川市民政局经办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0919-3280605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永明项目管理有限公司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陕西省西咸新区沣西新城尚业路1309号总部经济园6号楼516室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712046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18629080403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国家计委颁布《招标代理服务收费管理暂行办法》(计价格[2002]1980号)和国家发展和改革委员会办公厅颁发的《关于招标代理服务收费有关问题的通知》(发改办价格[2003]857号)文件规定执行。 2、招标代理服务费由成交供应商支付，在领取《成交通知书》前，由成交供应商一次性支付给永明项目管理有限公司。 3、招标代理服务费缴纳账户： 开户名称：永明项目管理有限公司 开户银行：中信银行陕西自贸试验区西安科技支行 账号：7252410182600044355 转账事由：项目编号＋代理服务费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铜川市民政局</w:t>
      </w:r>
      <w:r>
        <w:rPr>
          <w:rFonts w:ascii="仿宋_GB2312" w:hAnsi="仿宋_GB2312" w:cs="仿宋_GB2312" w:eastAsia="仿宋_GB2312"/>
        </w:rPr>
        <w:t>和</w:t>
      </w:r>
      <w:r>
        <w:rPr>
          <w:rFonts w:ascii="仿宋_GB2312" w:hAnsi="仿宋_GB2312" w:cs="仿宋_GB2312" w:eastAsia="仿宋_GB2312"/>
        </w:rPr>
        <w:t>永明项目管理有限公司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永明项目管理有限公司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永明项目管理有限公司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按合同要求、按标准完成</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永明项目管理有限公司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永明项目管理有限公司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永明项目管理有限公司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联系人：王靖</w:t>
      </w:r>
    </w:p>
    <w:p>
      <w:pPr>
        <w:pStyle w:val="null3"/>
      </w:pPr>
      <w:r>
        <w:rPr>
          <w:rFonts w:ascii="仿宋_GB2312" w:hAnsi="仿宋_GB2312" w:cs="仿宋_GB2312" w:eastAsia="仿宋_GB2312"/>
        </w:rPr>
        <w:t>联系电话：18629080403</w:t>
      </w:r>
    </w:p>
    <w:p>
      <w:pPr>
        <w:pStyle w:val="null3"/>
      </w:pPr>
      <w:r>
        <w:rPr>
          <w:rFonts w:ascii="仿宋_GB2312" w:hAnsi="仿宋_GB2312" w:cs="仿宋_GB2312" w:eastAsia="仿宋_GB2312"/>
        </w:rPr>
        <w:t>地址：陕西省西咸新区沣西新城尚业路1309号总部经济园6号楼516室</w:t>
      </w:r>
    </w:p>
    <w:p>
      <w:pPr>
        <w:pStyle w:val="null3"/>
      </w:pPr>
      <w:r>
        <w:rPr>
          <w:rFonts w:ascii="仿宋_GB2312" w:hAnsi="仿宋_GB2312" w:cs="仿宋_GB2312" w:eastAsia="仿宋_GB2312"/>
        </w:rPr>
        <w:t>邮编：712046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组织开展全市困境儿童心理健康关爱服务培训，对全市孤困儿童进行走访排查、心理评估、提供专业化心理关爱服务，建立孤困儿童心理健康档案，开展关爱服务宣传等活动，加强对孤困儿童安全守护，走访中关注其监护状况、生活保障、身心健康等，发现问题及时记录反馈，开展安全教育和风险排查，加强政策宣传；针对不同类型孤困儿童提供差异化服务，最大限度保障儿童权益，综合运用社会工作方法链接资源、协同相关部门提供物质帮助、权益保护和学业指导等支持。以“监测—保护—关爱”全流程服务体系为基础，建立覆盖全市在册孤困儿童心理健康档案，开展心理健康筛查，及时发现高风险群体，开展干预治疗，促进困境儿童身心健康发展，增强其心理韧性与社会适应能力。具有相关孤困儿童关爱服务项目经验，优先考虑非营利组织或社会服务机构；符合政府采购法规定的供应商条件（合法注册、无不良记录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铜川市困境儿童“身心工程”购买服务项目（二次）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标的名称：铜川市困境儿童“身心工程”购买服务项目（二次）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9"/>
                <w:color w:val="000000"/>
              </w:rPr>
              <w:t>1.业务培训</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组织全市儿童主任、督导员示范培训班</w:t>
            </w:r>
            <w:r>
              <w:rPr>
                <w:rFonts w:ascii="仿宋_GB2312" w:hAnsi="仿宋_GB2312" w:cs="仿宋_GB2312" w:eastAsia="仿宋_GB2312"/>
                <w:sz w:val="19"/>
                <w:color w:val="000000"/>
              </w:rPr>
              <w:t>1场，约50人左右，培训时间一天半，培训内容为儿童福利系统应用、困境儿童心理健康关爱服务技能、日常排查与服务保护等。</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组织区县业务培训，新区耀州</w:t>
            </w:r>
            <w:r>
              <w:rPr>
                <w:rFonts w:ascii="仿宋_GB2312" w:hAnsi="仿宋_GB2312" w:cs="仿宋_GB2312" w:eastAsia="仿宋_GB2312"/>
                <w:sz w:val="19"/>
                <w:color w:val="000000"/>
              </w:rPr>
              <w:t>1场；王益印台1场；宜君1场，每个场次1天，达到儿童督导员、儿童主任业务培训全覆盖。</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.走访排查</w:t>
            </w:r>
          </w:p>
          <w:p>
            <w:pPr>
              <w:pStyle w:val="null3"/>
              <w:jc w:val="left"/>
            </w:pPr>
            <w:r>
              <w:rPr>
                <w:rFonts w:ascii="仿宋_GB2312" w:hAnsi="仿宋_GB2312" w:cs="仿宋_GB2312" w:eastAsia="仿宋_GB2312"/>
                <w:sz w:val="19"/>
                <w:color w:val="000000"/>
              </w:rPr>
              <w:t>对铜川市内孤儿、艾滋病感染儿童、事实无人抚养儿童、留守儿童等困境儿童（约</w:t>
            </w:r>
            <w:r>
              <w:rPr>
                <w:rFonts w:ascii="仿宋_GB2312" w:hAnsi="仿宋_GB2312" w:cs="仿宋_GB2312" w:eastAsia="仿宋_GB2312"/>
                <w:sz w:val="19"/>
                <w:color w:val="000000"/>
              </w:rPr>
              <w:t>1000人左右）进行走访排查，对儿童家庭情况、儿童基本信息进行登记。</w:t>
            </w:r>
          </w:p>
          <w:p>
            <w:pPr>
              <w:pStyle w:val="null3"/>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心理评估</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对铜川市域内孤儿、事实无人抚养儿童、农村留守儿童（约</w:t>
            </w:r>
            <w:r>
              <w:rPr>
                <w:rFonts w:ascii="仿宋_GB2312" w:hAnsi="仿宋_GB2312" w:cs="仿宋_GB2312" w:eastAsia="仿宋_GB2312"/>
                <w:sz w:val="19"/>
                <w:color w:val="000000"/>
              </w:rPr>
              <w:t>1000人）每年开展至少1次心理健康测评。</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对福利院在院儿童（</w:t>
            </w:r>
            <w:r>
              <w:rPr>
                <w:rFonts w:ascii="仿宋_GB2312" w:hAnsi="仿宋_GB2312" w:cs="仿宋_GB2312" w:eastAsia="仿宋_GB2312"/>
                <w:sz w:val="19"/>
                <w:color w:val="000000"/>
              </w:rPr>
              <w:t>14人）每半年进行1次心理健康测评。</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对测评结果进行深入分析建档，实现心理健康测评率</w:t>
            </w:r>
            <w:r>
              <w:rPr>
                <w:rFonts w:ascii="仿宋_GB2312" w:hAnsi="仿宋_GB2312" w:cs="仿宋_GB2312" w:eastAsia="仿宋_GB2312"/>
                <w:sz w:val="19"/>
                <w:color w:val="000000"/>
              </w:rPr>
              <w:t>100%、建档率100%、预警率100%。</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4）</w:t>
            </w:r>
            <w:r>
              <w:rPr>
                <w:rFonts w:ascii="仿宋_GB2312" w:hAnsi="仿宋_GB2312" w:cs="仿宋_GB2312" w:eastAsia="仿宋_GB2312"/>
                <w:sz w:val="19"/>
                <w:color w:val="000000"/>
              </w:rPr>
              <w:t>对评估为黄色、红色儿童及其监护人每半年进行</w:t>
            </w:r>
            <w:r>
              <w:rPr>
                <w:rFonts w:ascii="仿宋_GB2312" w:hAnsi="仿宋_GB2312" w:cs="仿宋_GB2312" w:eastAsia="仿宋_GB2312"/>
                <w:sz w:val="19"/>
                <w:color w:val="000000"/>
              </w:rPr>
              <w:t>1次心理健康情况测评。</w:t>
            </w:r>
          </w:p>
          <w:p>
            <w:pPr>
              <w:pStyle w:val="null3"/>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心理服务</w:t>
            </w:r>
          </w:p>
          <w:p>
            <w:pPr>
              <w:pStyle w:val="null3"/>
              <w:jc w:val="left"/>
            </w:pPr>
            <w:r>
              <w:rPr>
                <w:rFonts w:ascii="仿宋_GB2312" w:hAnsi="仿宋_GB2312" w:cs="仿宋_GB2312" w:eastAsia="仿宋_GB2312"/>
                <w:sz w:val="19"/>
                <w:color w:val="000000"/>
              </w:rPr>
              <w:t>按照评估结果，实行</w:t>
            </w:r>
            <w:r>
              <w:rPr>
                <w:rFonts w:ascii="仿宋_GB2312" w:hAnsi="仿宋_GB2312" w:cs="仿宋_GB2312" w:eastAsia="仿宋_GB2312"/>
                <w:sz w:val="19"/>
                <w:color w:val="000000"/>
              </w:rPr>
              <w:t>“三色管理”服务。</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针对评估为绿色的儿童，加强跟踪，加强关爱服务。</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针对评估为黄色的儿童进行预警管理，开展针对性的心理疏导和心理健康知识宣传。</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针对评估为红色的儿童，对因心理问题产生行为偏差的儿童进行心理干预、教育矫治，严重的及时进行转介干预，到精神卫生福利机构采取专业治疗。</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4）</w:t>
            </w:r>
            <w:r>
              <w:rPr>
                <w:rFonts w:ascii="仿宋_GB2312" w:hAnsi="仿宋_GB2312" w:cs="仿宋_GB2312" w:eastAsia="仿宋_GB2312"/>
                <w:sz w:val="19"/>
                <w:color w:val="000000"/>
              </w:rPr>
              <w:t>对黄色、红色儿童的监护人进行心理压力疏导和家庭监护指导。</w:t>
            </w:r>
          </w:p>
          <w:p>
            <w:pPr>
              <w:pStyle w:val="null3"/>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建立档案</w:t>
            </w:r>
          </w:p>
          <w:p>
            <w:pPr>
              <w:pStyle w:val="null3"/>
              <w:jc w:val="left"/>
            </w:pPr>
            <w:r>
              <w:rPr>
                <w:rFonts w:ascii="仿宋_GB2312" w:hAnsi="仿宋_GB2312" w:cs="仿宋_GB2312" w:eastAsia="仿宋_GB2312"/>
                <w:sz w:val="19"/>
                <w:color w:val="000000"/>
              </w:rPr>
              <w:t>规范档案管理，专人负责，按照一人一档一册要求，按照不同的情况进行档案整理、分类管理。</w:t>
            </w:r>
          </w:p>
          <w:p>
            <w:pPr>
              <w:pStyle w:val="null3"/>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关爱宣传活动</w:t>
            </w:r>
          </w:p>
          <w:p>
            <w:pPr>
              <w:pStyle w:val="null3"/>
              <w:jc w:val="left"/>
            </w:pPr>
            <w:r>
              <w:rPr>
                <w:rFonts w:ascii="仿宋_GB2312" w:hAnsi="仿宋_GB2312" w:cs="仿宋_GB2312" w:eastAsia="仿宋_GB2312"/>
                <w:sz w:val="19"/>
                <w:color w:val="000000"/>
              </w:rPr>
              <w:t>针对儿童不同情况开展不同的关爱服务。</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加强心理健康教育，提升心理健康水平。对困境儿童及其父母或其他监护人进行心理健康常识普及，预防解决心理压力，促进心理健康发展。</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加强法治安全教育，维护困境儿童权益。联合相关部门开展法治教育活动，提升困境儿童法律意识和自我保护能力。</w:t>
            </w:r>
          </w:p>
          <w:p>
            <w:pPr>
              <w:pStyle w:val="null3"/>
              <w:jc w:val="left"/>
            </w:pPr>
            <w:r>
              <w:rPr>
                <w:rFonts w:ascii="仿宋_GB2312" w:hAnsi="仿宋_GB2312" w:cs="仿宋_GB2312" w:eastAsia="仿宋_GB2312"/>
                <w:sz w:val="19"/>
                <w:color w:val="000000"/>
              </w:rPr>
              <w:t>各项活动达到儿童及家长满意率</w:t>
            </w:r>
            <w:r>
              <w:rPr>
                <w:rFonts w:ascii="仿宋_GB2312" w:hAnsi="仿宋_GB2312" w:cs="仿宋_GB2312" w:eastAsia="仿宋_GB2312"/>
                <w:sz w:val="19"/>
                <w:color w:val="000000"/>
              </w:rPr>
              <w:t>90%以上。</w:t>
            </w:r>
          </w:p>
          <w:p>
            <w:pPr>
              <w:pStyle w:val="null3"/>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跟踪服务</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市未保中心与精神卫生福利机构签订协议，建立绿色通道，畅通转介干预就医渠道。</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对患精神障碍且经过门诊或者住院治疗的困境儿童，做好出院回归社区、学校后的跟踪帮扶服务，动员学校、儿童督导员、儿童主任、社会工作者、志愿者，与困境儿童建立结对关爱服务体系，开展定期随访、跟踪服务。</w:t>
            </w:r>
          </w:p>
          <w:p>
            <w:pPr>
              <w:pStyle w:val="null3"/>
              <w:jc w:val="left"/>
            </w:pPr>
            <w:r>
              <w:rPr>
                <w:rFonts w:ascii="仿宋_GB2312" w:hAnsi="仿宋_GB2312" w:cs="仿宋_GB2312" w:eastAsia="仿宋_GB2312"/>
                <w:sz w:val="19"/>
                <w:color w:val="000000"/>
              </w:rPr>
              <w:t>2-7项工作服务周期为两年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项目整体服务期为两年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结束后，成交人在服务地点提交验收申请。2.采购人收到验收申请后组织验收，验收时成交人应无条件予以配合并提供验收所需的全部资料，若成交人不配合或者未按合同要求提供服务的，采购人将拒绝验收 。3.验收依据：磋商文件、响应文件、合同文本、国内相应的标准、规范。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双方合同签订后采购人向供应商先支付30%的款项</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完成工作量的50%后支付款项至60%</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剩余款项采购人验收合格后一次性支付完成。每次付款前，供应商需按采购人审定的服务进度款项开具符合税法规定的有效增值税发票，否则采购人有权拒绝付款且不承担任何违约责任</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 2.成交人未按合同要求提供 货物与服务或货物与服务质量不能满足技术要求，且在规定时间内未使采购人满意的，采购人有权终止合同，同时报请监管部 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合同未尽事宜，经双方协商可签订补充协议，所签订的补充协议与本合同具有同等的法律效力， 补充协议的生效应符合本合同的有关规定。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合法注册的法人、其他组织或自然人，具有独立承担民事责任的能力，提供营业执照（或事业法人证）、组织机构代码证、税务登记证或统一社会信用代码的营业执照等证明文件，申请人为自然人的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法定代表人或授权委托人</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明及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 网站（www.creditchina.gov.cn）中列入失信被执行人和重大税收违失信主体的供应商，不得为中国政府采购网（www.ccgp.gov.cn）政府采购严重违法失信行为记录名单中被财政部门禁止参加政府采购活动的供应商（以当天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财务状况报告：提供2023年度或2024年度的经审计的财务报告（至少包括资产负债表和利润表，成立时间至提交响应文件截止时间不足一年的可提供成立后任意时段的资产负债表），或开标前六个月内其基本存款账户开户银行出具的资信证明； ②税收缴纳证明：提供投标人自开标前一年内至少一个月已缴纳的增值税或营业税或企业所得税的凭据或税务机关开具的完税证明；依法免税的应提供相关文件证明； ③社会保障资金缴纳证明：提供投标人自开标前一年内至少一个月的社会保险参保缴费情况证明，依法不需要缴纳社会保障资金的单位应提供相关证明材料； ④具有履行合同所必需的设备和专业技术能力的承诺； ⑤提供参加本次政府采购活动前三年内在经营活动中没有重大违法记录的书面声明。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投标文件上法定代表人或其委托代理人的签字齐全并加盖单位章;响应文件应逐页加盖单位公章，且公章清晰可见;(2)响应文件格式:应符合磋商文件要求;(3)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(1)对响应文件响应程度:要求全面响应，不能有任何采购人不能接受的附加条件;(2)服务时间:应满足磋商文件要求;(4)服务地点：采购人指定点;(5)有效期:应满足磋商文件要求。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商务应答表 服务方案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项目总体需求理解</w:t>
            </w:r>
          </w:p>
        </w:tc>
        <w:tc>
          <w:tcPr>
            <w:tcW w:type="dxa" w:w="2492"/>
          </w:tcPr>
          <w:p>
            <w:pPr>
              <w:pStyle w:val="null3"/>
            </w:pPr>
            <w:r>
              <w:rPr>
                <w:rFonts w:ascii="仿宋_GB2312" w:hAnsi="仿宋_GB2312" w:cs="仿宋_GB2312" w:eastAsia="仿宋_GB2312"/>
              </w:rPr>
              <w:t>对项目背景以及项目工作目标的总体理解与认识的评比 1、对项目背景以及项目工作目标的认识与理解准确、全面、详细、针对性强得18-25分； 2、对项目背景以及项目工作目标的认识与理解基本准确，不全面、针对性一般，得10-17分； 3、对项目背景以及项目工作目标的认识与理解简单，无针对性得1-9分。 4、未提供不得分。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供应商根据自身对本次采购需求的解读，提供项目的整体服务方案，结合相关技术支持材料，按其响应程度，自主排序赋分： 1、工作思路清晰，工作计划科学合理，服务方案编写规范，逻辑完整；技术服务内容细致全面，方案针对性强，贴合采购人需求，得18-25分； 2、工作思路较清晰，工作计划合理，服务方案编写完整；具有可实施性，得10-17分； 3、工作思路简单，工作计划普遍，服务方案编写能力一般；技术支持服务内容未涵盖完全，方案针对性不强，得1-9分。 4、工作思路混乱，工作计划不合理，服务方案编写能力差；技术支持服务内容有重大缺漏，方案无针对性，得0分。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重难点分析及合理化建议</w:t>
            </w:r>
          </w:p>
        </w:tc>
        <w:tc>
          <w:tcPr>
            <w:tcW w:type="dxa" w:w="2492"/>
          </w:tcPr>
          <w:p>
            <w:pPr>
              <w:pStyle w:val="null3"/>
            </w:pPr>
            <w:r>
              <w:rPr>
                <w:rFonts w:ascii="仿宋_GB2312" w:hAnsi="仿宋_GB2312" w:cs="仿宋_GB2312" w:eastAsia="仿宋_GB2312"/>
              </w:rPr>
              <w:t>采用的解决方案和合理化建议，按其响应程度，进行赋分。 分析及建议的可行性及针对性强，科学合理得10-15分；分析及建议的可行性及针对性基本满足项目需求，得4-9分；分析及建议的可行性及针对性差，得1-3分；未提供不得分。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依据磋商响应文件所提供的针对本项目的相关服务承诺（包含人员到位承诺、服务响应时间及其他实质性承诺），从其承诺内容及承诺是否可行等方面，按其响应程度，自主排序赋分。 承诺内容全面，可行性强，得10-15分；承诺内容基本全面，可行性基本满足项目需求，得4-9分；承诺内容简单，承诺可行性差，得1-3分；未提供不得分。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 似 业 绩</w:t>
            </w:r>
          </w:p>
        </w:tc>
        <w:tc>
          <w:tcPr>
            <w:tcW w:type="dxa" w:w="2492"/>
          </w:tcPr>
          <w:p>
            <w:pPr>
              <w:pStyle w:val="null3"/>
            </w:pPr>
            <w:r>
              <w:rPr>
                <w:rFonts w:ascii="仿宋_GB2312" w:hAnsi="仿宋_GB2312" w:cs="仿宋_GB2312" w:eastAsia="仿宋_GB2312"/>
              </w:rPr>
              <w:t>提供自2020年1月1日以来类似项目（孤困儿童关爱服务类）的业绩证明文件，每提供一份业绩证明文件，得 2分，满分10分。（注：业绩证明文件须是供应商已完成的类似项目，以合同或中标 通知书为准，评审时以响应文件中提供的合同复印件并加盖公章为依据）。未提供或不按要求提供不得分。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满足磋商文件要求且最终投标价格最低的投标报价为评审基准价，其价格分为满分 。其他投标人的价格分统一按照下列公式计算： 投标报价得分=（评标基准价/投标报价） ×价格权值×100。注：对符合《政府采购促进中小企业发展管理办法》（财库〔2022〕19号）规定的小微企业（监狱企业视同小型、微型企业）的报价给予 10 %的扣除，用扣除后的价格参加评审。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