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版本号：TCZFCG-2025-0037020250704001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公务用车监管平台系统运维服务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TCZFCG-2025-00370</w:t>
      </w:r>
      <w:r>
        <w:br/>
      </w:r>
      <w:r>
        <w:br/>
      </w:r>
      <w:r>
        <w:br/>
      </w:r>
    </w:p>
    <w:p>
      <w:pPr>
        <w:pStyle w:val="null3"/>
        <w:jc w:val="center"/>
        <w:outlineLvl w:val="5"/>
      </w:pPr>
      <w:r>
        <w:rPr>
          <w:rFonts w:ascii="仿宋_GB2312" w:hAnsi="仿宋_GB2312" w:cs="仿宋_GB2312" w:eastAsia="仿宋_GB2312"/>
          <w:sz w:val="15"/>
          <w:b/>
        </w:rPr>
        <w:t>铜川市机关事务管理服务中心</w:t>
      </w:r>
    </w:p>
    <w:p>
      <w:pPr>
        <w:pStyle w:val="null3"/>
        <w:jc w:val="center"/>
        <w:outlineLvl w:val="5"/>
      </w:pPr>
      <w:r>
        <w:rPr>
          <w:rFonts w:ascii="仿宋_GB2312" w:hAnsi="仿宋_GB2312" w:cs="仿宋_GB2312" w:eastAsia="仿宋_GB2312"/>
          <w:sz w:val="15"/>
          <w:b/>
        </w:rPr>
        <w:t>铜川市政府采购中心</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铜川市机关事务管理服务中心</w:t>
      </w:r>
      <w:r>
        <w:rPr>
          <w:rFonts w:ascii="仿宋_GB2312" w:hAnsi="仿宋_GB2312" w:cs="仿宋_GB2312" w:eastAsia="仿宋_GB2312"/>
        </w:rPr>
        <w:t>委托，拟对</w:t>
      </w:r>
      <w:r>
        <w:rPr>
          <w:rFonts w:ascii="仿宋_GB2312" w:hAnsi="仿宋_GB2312" w:cs="仿宋_GB2312" w:eastAsia="仿宋_GB2312"/>
        </w:rPr>
        <w:t>公务用车监管平台系统运维服务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TCZFCG-2025-00370</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公务用车监管平台系统运维服务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为市本级公务用车监督管理平台购买运维服务，确保持续运转，达到市本级公务用车信息化管理符合“全省一张网”要求。</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采购包1（公务用车监管平台系统运维服务）：属于专门面向中小企业采购。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铜川市机关事务管理服务中心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铜川市新区朝阳路铜川政务5楼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铜川市机关事务管理服务中心经办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18091913269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采购包1：342,400.00元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采购包1：342,400.00元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铜川市机关事务管理服务中心</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铜川市机关事务管理服务中心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依据年度服务情况及合同履约而定。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铜川市机关事务管理服务中心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为市本级公务用车监督管理平台购买运维服务，确保持续运转，达到市本级公务用车信息化管理符合“全省一张网”要求。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342,400.00</w:t>
      </w:r>
    </w:p>
    <w:p>
      <w:pPr>
        <w:pStyle w:val="null3"/>
      </w:pPr>
      <w:r>
        <w:rPr>
          <w:rFonts w:ascii="仿宋_GB2312" w:hAnsi="仿宋_GB2312" w:cs="仿宋_GB2312" w:eastAsia="仿宋_GB2312"/>
        </w:rPr>
        <w:t>采购包最高限价（元）: 342,400.00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公务用车监管平台系统运维服务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342,400.00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标的名称：公务用车监管平台系统运维服务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满足铜川市本级公务用车信息化平台一张网要求，对上接入全省公车信息化系统平台，对下监管全市各市级部门及区县公务用车。</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采购方指定地点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合同到期前30天，甲乙双方协商续签或终止服务事宜，甲方在收到发票10个工作日内一次性付清。</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依据年度服务情况及合同履约而定。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规定和本合同约定，成交供应商未全面履行合同义务或者发生违约，采购人会同采购中心有权终止合同，并报请政府采购监管机关依法进行相应的行政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合同签订之日起生效 ,计1年。服务期限到期，后两年服务，在采购单位对上年度服务验收合格后，按照政府采购相关要求。通过续签合同方式进行。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有效存续营业执照；社保缴纳证明：自2025年1月1日以来已缴存的至少3个月的社会保障资金缴存单据或社保机构开具的社会保险参保缴费情况证明。依法不需要缴纳社会保障资金的供应商应提供相关文件证明；税收缴纳证明：自2025年1月1日以来已缴纳的至少3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完善的财务制度。财务状况报告（二选一）：①提供2023年度经审计的财务会计报告（至少包括审计报告、资产负债表和利润表，成立时间至提交投标文件截止时间不足一年的可提供成立后任意时段的资产负债表）；②提供供应商基本存款账户信息及开标日期前三个月内其基本存款账户开户银行出具的资信证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商务应答表 服务方案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本项目授权协商小组直接确认成交供应商，确认后代理机构在陕西省政府采购网上发布成交结果公告，同时向成交供应商发出成交通知书。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