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版本号：ZCSP-铜川市-2025-00410、XHLJZC-TC2025-07220250623001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铜川市2024年度资源枯竭城市转型工作绩效评估专项采购项目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ZCSP-铜川市-2025-00410、XHLJZC-TC2025-072</w:t>
      </w:r>
      <w:r>
        <w:br/>
      </w:r>
      <w:r>
        <w:br/>
      </w:r>
      <w:r>
        <w:br/>
      </w:r>
    </w:p>
    <w:p>
      <w:pPr>
        <w:pStyle w:val="null3"/>
        <w:jc w:val="center"/>
        <w:outlineLvl w:val="2"/>
      </w:pPr>
      <w:r>
        <w:rPr>
          <w:rFonts w:ascii="仿宋_GB2312" w:hAnsi="仿宋_GB2312" w:cs="仿宋_GB2312" w:eastAsia="仿宋_GB2312"/>
          <w:sz w:val="28"/>
          <w:b/>
        </w:rPr>
        <w:t>铜川市资源型城市转型推进中心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铜川市资源型城市转型推进中心</w:t>
      </w:r>
      <w:r>
        <w:rPr>
          <w:rFonts w:ascii="仿宋_GB2312" w:hAnsi="仿宋_GB2312" w:cs="仿宋_GB2312" w:eastAsia="仿宋_GB2312"/>
        </w:rPr>
        <w:t>委托，拟对</w:t>
      </w:r>
      <w:r>
        <w:rPr>
          <w:rFonts w:ascii="仿宋_GB2312" w:hAnsi="仿宋_GB2312" w:cs="仿宋_GB2312" w:eastAsia="仿宋_GB2312"/>
        </w:rPr>
        <w:t>铜川市2024年度资源枯竭城市转型工作绩效评估专项采购项目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ZCSP-铜川市-2025-00410、XHLJZC-TC2025-072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铜川市2024年度资源枯竭城市转型工作绩效评估专项采购项目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铜川市2024年度资源枯竭城市转型工作绩效评估专项采购，具体内容详见采购文件。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采购包1（铜川市资源型城市转型推进中心铜川市2024年度资源枯竭城市转型工作绩效评估专项采购项目）：属于专门面向中小企业采购。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4、有依法缴纳税收和社会保障资金的良好记录：提供2024年1月以来任意1个月依法缴纳税收和社会保险的相关证明材料；注：依法免税或不需要缴纳社会保险的供应商提供相关部门出具的证明文件。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铜川市资源型城市转型推进中心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0919-3189176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铜川市资源型城市转型推进中心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铜川市资源型城市转型推进中心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铜川市资源型城市转型推进中心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成交供应商配合采购人验收，达到采购人及验收标准。验收标准：项目执行任务完成以后，由采购人依照合同所赋予的义务和责任及项目工作计划和任务完成情况进行考核评估验收。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铜川市2024年度资源枯竭城市转型工作绩效评估专项采购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2024年度资源枯竭城市转型工作绩效考核自评报告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标的名称：2024年度资源枯竭城市转型工作绩效考核自评报告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1.绩效评价须全面总结我市2024年度在经济发展、民生改善、环境整治、改革创新等方面采取的具体措施、取得的实际转型成效、形成的特色发展模式等。</w:t>
            </w:r>
          </w:p>
          <w:p>
            <w:pPr>
              <w:pStyle w:val="null3"/>
              <w:ind w:firstLine="480"/>
            </w:pPr>
            <w:r>
              <w:rPr>
                <w:rFonts w:ascii="仿宋_GB2312" w:hAnsi="仿宋_GB2312" w:cs="仿宋_GB2312" w:eastAsia="仿宋_GB2312"/>
                <w:sz w:val="21"/>
              </w:rPr>
              <w:t>2.转型指标完成情况及社会评价情况总结。针对定量指标完成情况、定性指标进展情况、社会评价组织开展情况进行全面总结。对照各项定量指标开展测算和评价，对党委政府重视程度、配套政策制定及落实情况等进行全面评价。结合铜川实际，详细分析社会评价工作实施过程和评价结果。</w:t>
            </w:r>
          </w:p>
          <w:p>
            <w:pPr>
              <w:pStyle w:val="null3"/>
              <w:ind w:firstLine="480"/>
            </w:pPr>
            <w:r>
              <w:rPr>
                <w:rFonts w:ascii="仿宋_GB2312" w:hAnsi="仿宋_GB2312" w:cs="仿宋_GB2312" w:eastAsia="仿宋_GB2312"/>
                <w:sz w:val="21"/>
              </w:rPr>
              <w:t>3.总结铜川转型面临的矛盾和问题。立足资源型城市转型发展基本规划和资源型城市发展总体趋势，从经济发展、民生改善、改革创新、区域协同等方面剖析铜川转型面临的困境、问题和挑战。</w:t>
            </w:r>
          </w:p>
          <w:p>
            <w:pPr>
              <w:pStyle w:val="null3"/>
              <w:ind w:firstLine="480"/>
            </w:pPr>
            <w:r>
              <w:rPr>
                <w:rFonts w:ascii="仿宋_GB2312" w:hAnsi="仿宋_GB2312" w:cs="仿宋_GB2312" w:eastAsia="仿宋_GB2312"/>
                <w:sz w:val="21"/>
              </w:rPr>
              <w:t>4.下一步工作考虑和政策建议。充分考虑铜川转型发展现状和资源要素禀赋，围绕推动解决制约转型发展的主要矛盾和问题，研究提出下一步推进转型工作的考虑和政策建议。</w:t>
            </w:r>
          </w:p>
          <w:p>
            <w:pPr>
              <w:pStyle w:val="null3"/>
            </w:pPr>
            <w:r>
              <w:rPr>
                <w:rFonts w:ascii="仿宋_GB2312" w:hAnsi="仿宋_GB2312" w:cs="仿宋_GB2312" w:eastAsia="仿宋_GB2312"/>
                <w:sz w:val="21"/>
              </w:rPr>
              <w:t xml:space="preserve">       5.报告需在合同签订后10个工作日内完成并上报，充分客观反映发展各项指标数据和发展成就，确保铜川市在绩效评估工作中实现进位。</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合同签订后10个工作日内完成并上报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铜川市资源型城市转型推进中心指定地点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由采购人进行验收。2.验收标准：按磋商文件、磋商响应文件及澄清函、项目检查情况等综合指标进行验收。各项指标均应符合验收标准及要求。3.验收合格后，填写验收单，双方签字生效。4.验收依据：a)合同文本；b)磋商文件及澄清函、竞争性磋商响应文件；c)国家和行业制定的相应的标准和规范；d)验收清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完成最终定稿提交采购人审核通过并提交最终报告后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甲方的违约责任1、甲方逾期付款，应就逾期部分向乙方支付按照中国人民银行规定的同期贷款基准利率计算的逾期付款违约金。 2、甲方违反合同规定拒绝接收成果及服务的，应当承担由此对乙方造成的损失。 乙方的违约责任1、乙方不能按期服务的，每逾期1日，乙方应向甲方赔付合同总价的0.1%作为违约金。 2、乙方所交服务不符合国家法律法规和合同规定的，甲方有权拒收，并由乙方承担一切费用。 解决争议的方法：合同执行中发生争议的，当事人双方应协商解决。协商达不成一致时，可向采购人所在地人民法院提请诉讼。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提供2024年1月以来任意1个月依法缴纳税收和社会保险的相关证明材料；注：依法免税或不需要缴纳社会保险的供应商提供相关部门出具的证明文件。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响应文件签章（实质性要求）</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响应文件封面 政府采购供应商拒绝政府采购领域商业贿赂承诺书 磋商方案说明 残疾人福利性单位声明函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响应文件有效期（实质性要求）</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①项目计划安排：每满足一项评审标准得2分，满分6分； ②项目质量保障：每满足一项评审标准得2分，满分6分； ③项目风险管控：每满足一项评审标准得2分，满分6分。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需求分析与重点难点解决方案</w:t>
            </w:r>
          </w:p>
        </w:tc>
        <w:tc>
          <w:tcPr>
            <w:tcW w:type="dxa" w:w="2492"/>
          </w:tcPr>
          <w:p>
            <w:pPr>
              <w:pStyle w:val="null3"/>
            </w:pPr>
            <w:r>
              <w:rPr>
                <w:rFonts w:ascii="仿宋_GB2312" w:hAnsi="仿宋_GB2312" w:cs="仿宋_GB2312" w:eastAsia="仿宋_GB2312"/>
              </w:rPr>
              <w:t>1、评审内容 供应商提供针对本项目的技术服务方案，内容包括： ①对采购需求分析； ②执行过程中的重点、难点问题分析； ③针对重点、难点问题的解决方案。 2、评审标准 ①完整性：方案内容全面，对评审内容中的各项要求有详细描述及说明； ②可实施性：方案科学合理，可操作性强； ③针对性：方案能紧扣本项目实际情况，满足本项目各项具体要求。 3、赋分标准 ①对采购需求分析：每满足一项评审标准得2分，满分6分； ②执行过程中的重点、难点问题分析：每满足一项评审标准得2分，满分6分； ③针对重点、难点问题的解决方案：每满足一项评审标准得2分，满分6分。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具备相关专业高级职称，得6分；具备相关专业中级职称，得3分，未提供不得分。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1、评审内容（本项满分6分）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每完全满足一项评审标准得2分，满分6分 4、项目团队（本项满分8分） 项目团队具备相关专业高级职称，每提供1人，计2分；具备相关专业中级职称，每提供1人，计1分。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安全保密方案</w:t>
            </w:r>
          </w:p>
        </w:tc>
        <w:tc>
          <w:tcPr>
            <w:tcW w:type="dxa" w:w="2492"/>
          </w:tcPr>
          <w:p>
            <w:pPr>
              <w:pStyle w:val="null3"/>
            </w:pPr>
            <w:r>
              <w:rPr>
                <w:rFonts w:ascii="仿宋_GB2312" w:hAnsi="仿宋_GB2312" w:cs="仿宋_GB2312" w:eastAsia="仿宋_GB2312"/>
              </w:rPr>
              <w:t>1、评审内容： 供应商提供针对本项目的安全保密方案应包括: ①保密管理制度； ②保密人员管理。 2、评审标准 ①完整性：方案必须全面，对评审内容中的各项要求有详细描述； ②可实施性：切合本项目实际情况，提出步骤清晰、合理的方案； ③针对性：方案能够紧扣项目实际情况，内容科学合理。 3、赋分标准 ①保密管理制度：每满足一项评审标准得2分，满分6分； ②保密人员管理：每满足一项评审标准得2分，满分6分。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①完整性：内容须全面，对评审内容中的各项要求有详细描述及说明； ②可实施性：切合本项目实际情况，步骤清晰、合理，操作性强； ③针对性：内容能够紧扣项目实际情况，内容科学合理。 3、赋分标准 ①服务质量承诺：每满足一项评审标准得2分，满分6分； ②服务体系及响应时间：每满足一项评审标准得2分，满分6分。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提供2022年1月1日以来供应商类似项目的业绩合同（以合同签订日期为准），附业绩合同复印件加盖公章，每份4分，满分8分；未提供不计分。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投标人的价格分统一按照下列公式计算：磋商报价得分=（磋商基准价/最终磋商报价）×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