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5E293">
      <w:pPr>
        <w:rPr>
          <w:rFonts w:hint="eastAsia" w:ascii="仿宋" w:hAnsi="仿宋" w:eastAsia="仿宋" w:cs="仿宋"/>
          <w:b/>
          <w:bCs/>
          <w:lang w:eastAsia="zh-CN"/>
        </w:rPr>
      </w:pPr>
      <w:r>
        <w:rPr>
          <w:rFonts w:hint="eastAsia" w:ascii="仿宋" w:hAnsi="仿宋" w:eastAsia="仿宋" w:cs="仿宋"/>
          <w:b/>
          <w:bCs/>
          <w:lang w:eastAsia="zh-CN"/>
        </w:rPr>
        <w:t>合同编号：</w:t>
      </w:r>
    </w:p>
    <w:p w14:paraId="4C6F8954">
      <w:pPr>
        <w:pStyle w:val="2"/>
        <w:rPr>
          <w:rFonts w:hint="eastAsia" w:ascii="仿宋" w:hAnsi="仿宋" w:eastAsia="仿宋" w:cs="仿宋"/>
          <w:lang w:eastAsia="zh-CN"/>
        </w:rPr>
      </w:pPr>
    </w:p>
    <w:p w14:paraId="29631E9A">
      <w:pPr>
        <w:spacing w:line="720" w:lineRule="auto"/>
        <w:jc w:val="center"/>
        <w:rPr>
          <w:rFonts w:hint="eastAsia" w:ascii="仿宋" w:hAnsi="仿宋" w:eastAsia="仿宋" w:cs="仿宋"/>
          <w:b/>
          <w:bCs/>
          <w:sz w:val="52"/>
          <w:szCs w:val="72"/>
        </w:rPr>
      </w:pPr>
    </w:p>
    <w:p w14:paraId="75724601">
      <w:pPr>
        <w:spacing w:line="720" w:lineRule="auto"/>
        <w:jc w:val="center"/>
        <w:rPr>
          <w:rFonts w:hint="default" w:ascii="仿宋" w:hAnsi="仿宋" w:eastAsia="仿宋" w:cs="仿宋"/>
          <w:b/>
          <w:bCs/>
          <w:sz w:val="52"/>
          <w:szCs w:val="72"/>
          <w:lang w:val="en-US" w:eastAsia="zh-CN"/>
        </w:rPr>
      </w:pPr>
      <w:r>
        <w:rPr>
          <w:rFonts w:hint="eastAsia" w:ascii="仿宋" w:hAnsi="仿宋" w:eastAsia="仿宋" w:cs="仿宋"/>
          <w:b/>
          <w:bCs/>
          <w:sz w:val="52"/>
          <w:szCs w:val="72"/>
          <w:lang w:val="en-US" w:eastAsia="zh-CN"/>
        </w:rPr>
        <w:t>XXXXXXXXXXXXXXX项目</w:t>
      </w:r>
    </w:p>
    <w:p w14:paraId="719FFEDC">
      <w:pPr>
        <w:spacing w:line="720" w:lineRule="auto"/>
        <w:jc w:val="center"/>
        <w:rPr>
          <w:rFonts w:hint="eastAsia" w:ascii="仿宋" w:hAnsi="仿宋" w:eastAsia="仿宋" w:cs="仿宋"/>
          <w:b/>
          <w:bCs/>
          <w:sz w:val="52"/>
          <w:szCs w:val="72"/>
          <w:lang w:eastAsia="zh-CN"/>
        </w:rPr>
      </w:pPr>
      <w:r>
        <w:rPr>
          <w:rFonts w:hint="eastAsia" w:ascii="仿宋" w:hAnsi="仿宋" w:eastAsia="仿宋" w:cs="仿宋"/>
          <w:b/>
          <w:bCs/>
          <w:sz w:val="52"/>
          <w:szCs w:val="72"/>
          <w:lang w:eastAsia="zh-CN"/>
        </w:rPr>
        <w:t>政</w:t>
      </w:r>
    </w:p>
    <w:p w14:paraId="2829C45B">
      <w:pPr>
        <w:spacing w:line="720" w:lineRule="auto"/>
        <w:jc w:val="center"/>
        <w:rPr>
          <w:rFonts w:hint="eastAsia" w:ascii="仿宋" w:hAnsi="仿宋" w:eastAsia="仿宋" w:cs="仿宋"/>
          <w:b/>
          <w:bCs/>
          <w:sz w:val="52"/>
          <w:szCs w:val="72"/>
          <w:lang w:eastAsia="zh-CN"/>
        </w:rPr>
      </w:pPr>
      <w:r>
        <w:rPr>
          <w:rFonts w:hint="eastAsia" w:ascii="仿宋" w:hAnsi="仿宋" w:eastAsia="仿宋" w:cs="仿宋"/>
          <w:b/>
          <w:bCs/>
          <w:sz w:val="52"/>
          <w:szCs w:val="72"/>
          <w:lang w:eastAsia="zh-CN"/>
        </w:rPr>
        <w:t>府</w:t>
      </w:r>
    </w:p>
    <w:p w14:paraId="1B4FDE0B">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采</w:t>
      </w:r>
    </w:p>
    <w:p w14:paraId="58285438">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购</w:t>
      </w:r>
    </w:p>
    <w:p w14:paraId="5AE0DBD1">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合</w:t>
      </w:r>
    </w:p>
    <w:p w14:paraId="2AD226A2">
      <w:pPr>
        <w:spacing w:line="720" w:lineRule="auto"/>
        <w:jc w:val="center"/>
        <w:rPr>
          <w:rFonts w:hint="eastAsia" w:ascii="仿宋" w:hAnsi="仿宋" w:eastAsia="仿宋" w:cs="仿宋"/>
          <w:b/>
          <w:bCs/>
          <w:sz w:val="52"/>
          <w:szCs w:val="72"/>
        </w:rPr>
      </w:pPr>
      <w:r>
        <w:rPr>
          <w:rFonts w:hint="eastAsia" w:ascii="仿宋" w:hAnsi="仿宋" w:eastAsia="仿宋" w:cs="仿宋"/>
          <w:b/>
          <w:bCs/>
          <w:sz w:val="52"/>
          <w:szCs w:val="72"/>
        </w:rPr>
        <w:t>同</w:t>
      </w:r>
    </w:p>
    <w:p w14:paraId="1323C7D2">
      <w:pPr>
        <w:pStyle w:val="2"/>
        <w:rPr>
          <w:rFonts w:hint="eastAsia" w:ascii="仿宋" w:hAnsi="仿宋" w:eastAsia="仿宋" w:cs="仿宋"/>
        </w:rPr>
      </w:pPr>
    </w:p>
    <w:p w14:paraId="68238F06">
      <w:pPr>
        <w:spacing w:line="600" w:lineRule="auto"/>
        <w:ind w:firstLine="1124" w:firstLineChars="4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项</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目</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名</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称</w:t>
      </w:r>
      <w:r>
        <w:rPr>
          <w:rFonts w:hint="eastAsia" w:ascii="仿宋" w:hAnsi="仿宋" w:eastAsia="仿宋" w:cs="仿宋"/>
          <w:b/>
          <w:bCs/>
          <w:sz w:val="28"/>
          <w:szCs w:val="28"/>
        </w:rPr>
        <w:t>:</w:t>
      </w:r>
      <w:r>
        <w:rPr>
          <w:rFonts w:hint="eastAsia" w:ascii="仿宋" w:hAnsi="仿宋" w:eastAsia="仿宋" w:cs="仿宋"/>
          <w:b/>
          <w:bCs/>
          <w:sz w:val="28"/>
          <w:szCs w:val="28"/>
          <w:u w:val="single"/>
          <w:lang w:val="en-US" w:eastAsia="zh-CN"/>
        </w:rPr>
        <w:t xml:space="preserve">                              </w:t>
      </w:r>
    </w:p>
    <w:p w14:paraId="5D678CA4">
      <w:pPr>
        <w:spacing w:line="600" w:lineRule="auto"/>
        <w:ind w:firstLine="1124" w:firstLineChars="400"/>
        <w:rPr>
          <w:rFonts w:hint="eastAsia" w:ascii="仿宋" w:hAnsi="仿宋" w:eastAsia="仿宋" w:cs="仿宋"/>
          <w:b/>
          <w:bCs/>
          <w:sz w:val="28"/>
          <w:szCs w:val="28"/>
          <w:u w:val="single"/>
          <w:lang w:val="en-US"/>
        </w:rPr>
      </w:pPr>
      <w:r>
        <w:rPr>
          <w:rFonts w:hint="eastAsia" w:ascii="仿宋" w:hAnsi="仿宋" w:eastAsia="仿宋" w:cs="仿宋"/>
          <w:b/>
          <w:bCs/>
          <w:sz w:val="28"/>
          <w:szCs w:val="28"/>
        </w:rPr>
        <w:t>采购人(甲方) :</w:t>
      </w:r>
      <w:r>
        <w:rPr>
          <w:rFonts w:hint="eastAsia" w:ascii="仿宋" w:hAnsi="仿宋" w:eastAsia="仿宋" w:cs="仿宋"/>
          <w:b/>
          <w:bCs/>
          <w:sz w:val="28"/>
          <w:szCs w:val="28"/>
          <w:u w:val="single"/>
          <w:lang w:val="en-US" w:eastAsia="zh-CN"/>
        </w:rPr>
        <w:t xml:space="preserve">                              </w:t>
      </w:r>
    </w:p>
    <w:p w14:paraId="1B67CAF2">
      <w:pPr>
        <w:spacing w:line="600" w:lineRule="auto"/>
        <w:ind w:firstLine="1124" w:firstLineChars="400"/>
        <w:rPr>
          <w:rFonts w:hint="eastAsia" w:ascii="仿宋" w:hAnsi="仿宋" w:eastAsia="仿宋" w:cs="仿宋"/>
          <w:b/>
          <w:bCs/>
          <w:sz w:val="28"/>
          <w:szCs w:val="28"/>
          <w:lang w:val="en-US"/>
        </w:rPr>
      </w:pPr>
      <w:r>
        <w:rPr>
          <w:rFonts w:hint="eastAsia" w:ascii="仿宋" w:hAnsi="仿宋" w:eastAsia="仿宋" w:cs="仿宋"/>
          <w:b/>
          <w:bCs/>
          <w:sz w:val="28"/>
          <w:szCs w:val="28"/>
        </w:rPr>
        <w:t>供应商(乙方) :</w:t>
      </w:r>
      <w:r>
        <w:rPr>
          <w:rFonts w:hint="eastAsia" w:ascii="仿宋" w:hAnsi="仿宋" w:eastAsia="仿宋" w:cs="仿宋"/>
          <w:b/>
          <w:bCs/>
          <w:sz w:val="28"/>
          <w:szCs w:val="28"/>
          <w:u w:val="single"/>
          <w:lang w:val="en-US" w:eastAsia="zh-CN"/>
        </w:rPr>
        <w:t xml:space="preserve">                              </w:t>
      </w:r>
    </w:p>
    <w:p w14:paraId="4173B4D2">
      <w:pPr>
        <w:spacing w:line="60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lang w:eastAsia="zh-CN"/>
        </w:rPr>
        <w:t>签</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订</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地</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点</w:t>
      </w:r>
      <w:r>
        <w:rPr>
          <w:rFonts w:hint="eastAsia" w:ascii="仿宋" w:hAnsi="仿宋" w:eastAsia="仿宋" w:cs="仿宋"/>
          <w:b/>
          <w:bCs/>
          <w:sz w:val="28"/>
          <w:szCs w:val="28"/>
        </w:rPr>
        <w:t xml:space="preserve">: </w:t>
      </w:r>
      <w:r>
        <w:rPr>
          <w:rFonts w:hint="eastAsia" w:ascii="仿宋" w:hAnsi="仿宋" w:eastAsia="仿宋" w:cs="仿宋"/>
          <w:b/>
          <w:bCs/>
          <w:sz w:val="28"/>
          <w:szCs w:val="28"/>
          <w:u w:val="single"/>
          <w:lang w:val="en-US" w:eastAsia="zh-CN"/>
        </w:rPr>
        <w:t xml:space="preserve">                             </w:t>
      </w:r>
    </w:p>
    <w:p w14:paraId="27E7DC84">
      <w:pPr>
        <w:jc w:val="center"/>
        <w:rPr>
          <w:rFonts w:hint="eastAsia" w:ascii="仿宋" w:hAnsi="仿宋" w:eastAsia="仿宋" w:cs="仿宋"/>
          <w:sz w:val="28"/>
          <w:szCs w:val="30"/>
        </w:rPr>
      </w:pPr>
      <w:r>
        <w:rPr>
          <w:rFonts w:hint="eastAsia" w:ascii="仿宋" w:hAnsi="仿宋" w:eastAsia="仿宋" w:cs="仿宋"/>
          <w:b/>
          <w:bCs/>
          <w:sz w:val="28"/>
          <w:szCs w:val="28"/>
        </w:rPr>
        <w:t>年</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月</w:t>
      </w:r>
    </w:p>
    <w:p w14:paraId="1647B59D">
      <w:pPr>
        <w:spacing w:line="360" w:lineRule="auto"/>
        <w:jc w:val="center"/>
        <w:rPr>
          <w:rFonts w:hint="eastAsia" w:ascii="仿宋" w:hAnsi="仿宋" w:eastAsia="仿宋" w:cs="仿宋"/>
          <w:b/>
          <w:bCs w:val="0"/>
          <w:color w:val="000000"/>
          <w:sz w:val="36"/>
          <w:szCs w:val="36"/>
          <w:lang w:val="en-US" w:eastAsia="zh-CN"/>
        </w:rPr>
        <w:sectPr>
          <w:headerReference r:id="rId4" w:type="first"/>
          <w:footerReference r:id="rId7" w:type="first"/>
          <w:footerReference r:id="rId5" w:type="default"/>
          <w:headerReference r:id="rId3" w:type="even"/>
          <w:footerReference r:id="rId6" w:type="even"/>
          <w:pgSz w:w="11906" w:h="16838"/>
          <w:pgMar w:top="1440" w:right="1247" w:bottom="1440" w:left="1247" w:header="851" w:footer="992" w:gutter="0"/>
          <w:pgNumType w:fmt="numberInDash" w:start="1"/>
          <w:cols w:space="720" w:num="1"/>
          <w:docGrid w:type="lines" w:linePitch="312" w:charSpace="0"/>
        </w:sectPr>
      </w:pPr>
      <w:bookmarkStart w:id="0" w:name="_GoBack"/>
      <w:bookmarkEnd w:id="0"/>
    </w:p>
    <w:p w14:paraId="767E20EA">
      <w:pPr>
        <w:spacing w:line="360" w:lineRule="auto"/>
        <w:jc w:val="center"/>
        <w:rPr>
          <w:rFonts w:hint="eastAsia" w:ascii="仿宋" w:hAnsi="仿宋" w:eastAsia="仿宋" w:cs="仿宋"/>
          <w:b/>
          <w:bCs w:val="0"/>
          <w:color w:val="auto"/>
          <w:kern w:val="44"/>
          <w:sz w:val="32"/>
          <w:szCs w:val="20"/>
          <w:highlight w:val="none"/>
        </w:rPr>
      </w:pPr>
      <w:r>
        <w:rPr>
          <w:rFonts w:hint="eastAsia" w:ascii="仿宋" w:hAnsi="仿宋" w:eastAsia="仿宋" w:cs="仿宋"/>
          <w:b/>
          <w:bCs w:val="0"/>
          <w:color w:val="000000"/>
          <w:sz w:val="36"/>
          <w:szCs w:val="36"/>
          <w:lang w:val="en-US" w:eastAsia="zh-CN"/>
        </w:rPr>
        <w:t>采购合同</w:t>
      </w:r>
    </w:p>
    <w:p w14:paraId="54CACE9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甲方：</w:t>
      </w:r>
    </w:p>
    <w:p w14:paraId="166BC8C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乙方：</w:t>
      </w:r>
    </w:p>
    <w:p w14:paraId="52A73FA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u w:val="single"/>
          <w:lang w:val="en-US" w:eastAsia="zh-CN"/>
        </w:rPr>
        <w:t>XXXXXXXXXXXXXXX项目</w:t>
      </w:r>
      <w:r>
        <w:rPr>
          <w:rFonts w:hint="eastAsia" w:ascii="仿宋" w:hAnsi="仿宋" w:eastAsia="仿宋" w:cs="仿宋"/>
          <w:b w:val="0"/>
          <w:bCs/>
          <w:color w:val="000000"/>
          <w:sz w:val="24"/>
          <w:szCs w:val="24"/>
          <w:lang w:val="en-US" w:eastAsia="zh-CN"/>
        </w:rPr>
        <w:t>(项目编号：</w:t>
      </w:r>
      <w:r>
        <w:rPr>
          <w:rFonts w:hint="eastAsia" w:ascii="仿宋" w:hAnsi="仿宋" w:eastAsia="仿宋" w:cs="仿宋"/>
          <w:b w:val="0"/>
          <w:bCs/>
          <w:color w:val="000000"/>
          <w:sz w:val="24"/>
          <w:szCs w:val="24"/>
          <w:u w:val="single"/>
          <w:lang w:val="en-US" w:eastAsia="zh-CN"/>
        </w:rPr>
        <w:t>XXXXXXXXXXXXX</w:t>
      </w:r>
      <w:r>
        <w:rPr>
          <w:rFonts w:hint="eastAsia" w:ascii="仿宋" w:hAnsi="仿宋" w:eastAsia="仿宋" w:cs="仿宋"/>
          <w:b w:val="0"/>
          <w:bCs/>
          <w:color w:val="000000"/>
          <w:sz w:val="24"/>
          <w:szCs w:val="24"/>
          <w:lang w:val="en-US" w:eastAsia="zh-CN"/>
        </w:rPr>
        <w:t xml:space="preserve"> )由</w:t>
      </w:r>
      <w:r>
        <w:rPr>
          <w:rFonts w:hint="eastAsia" w:ascii="仿宋" w:hAnsi="仿宋" w:eastAsia="仿宋" w:cs="仿宋"/>
          <w:b w:val="0"/>
          <w:bCs/>
          <w:color w:val="000000"/>
          <w:sz w:val="24"/>
          <w:szCs w:val="24"/>
          <w:u w:val="single"/>
          <w:lang w:val="en-US" w:eastAsia="zh-CN"/>
        </w:rPr>
        <w:t>XXXXXXXXXX公司(招标代理机构)</w:t>
      </w:r>
      <w:r>
        <w:rPr>
          <w:rFonts w:hint="eastAsia" w:ascii="仿宋" w:hAnsi="仿宋" w:eastAsia="仿宋" w:cs="仿宋"/>
          <w:b w:val="0"/>
          <w:bCs/>
          <w:color w:val="000000"/>
          <w:sz w:val="24"/>
          <w:szCs w:val="24"/>
          <w:lang w:val="en-US" w:eastAsia="zh-CN"/>
        </w:rPr>
        <w:t>组织招标采购，</w:t>
      </w:r>
      <w:r>
        <w:rPr>
          <w:rFonts w:hint="eastAsia" w:ascii="仿宋" w:hAnsi="仿宋" w:eastAsia="仿宋" w:cs="仿宋"/>
          <w:b w:val="0"/>
          <w:bCs/>
          <w:color w:val="000000"/>
          <w:sz w:val="24"/>
          <w:szCs w:val="24"/>
          <w:u w:val="single"/>
          <w:lang w:val="en-US" w:eastAsia="zh-CN"/>
        </w:rPr>
        <w:t xml:space="preserve">         </w:t>
      </w:r>
      <w:r>
        <w:rPr>
          <w:rFonts w:hint="eastAsia" w:ascii="仿宋" w:hAnsi="仿宋" w:eastAsia="仿宋" w:cs="仿宋"/>
          <w:b w:val="0"/>
          <w:bCs/>
          <w:color w:val="000000"/>
          <w:sz w:val="24"/>
          <w:szCs w:val="24"/>
          <w:lang w:val="en-US" w:eastAsia="zh-CN"/>
        </w:rPr>
        <w:t>(以下简称“甲方”)确定</w:t>
      </w:r>
      <w:r>
        <w:rPr>
          <w:rFonts w:hint="eastAsia" w:ascii="仿宋" w:hAnsi="仿宋" w:eastAsia="仿宋" w:cs="仿宋"/>
          <w:b w:val="0"/>
          <w:bCs/>
          <w:color w:val="000000"/>
          <w:sz w:val="24"/>
          <w:szCs w:val="24"/>
          <w:u w:val="single"/>
          <w:lang w:val="en-US" w:eastAsia="zh-CN"/>
        </w:rPr>
        <w:t xml:space="preserve">       </w:t>
      </w:r>
      <w:r>
        <w:rPr>
          <w:rFonts w:hint="eastAsia" w:ascii="仿宋" w:hAnsi="仿宋" w:eastAsia="仿宋" w:cs="仿宋"/>
          <w:b w:val="0"/>
          <w:bCs/>
          <w:color w:val="000000"/>
          <w:sz w:val="24"/>
          <w:szCs w:val="24"/>
          <w:lang w:val="en-US" w:eastAsia="zh-CN"/>
        </w:rPr>
        <w:t>（以下简称“乙方”）为该项目的成交供应商。</w:t>
      </w:r>
    </w:p>
    <w:p w14:paraId="430B7324">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依据《中华人民共和国民法典》和《中华人民共和国政府采购法》及相关法律法规，经双方协商按下述条款和条件签署本合同。</w:t>
      </w:r>
    </w:p>
    <w:p w14:paraId="191C4270">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一、合同金额</w:t>
      </w:r>
    </w:p>
    <w:p w14:paraId="14D768C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（一）合同总价为</w:t>
      </w:r>
      <w:r>
        <w:rPr>
          <w:rFonts w:hint="eastAsia" w:ascii="仿宋" w:hAnsi="仿宋" w:eastAsia="仿宋" w:cs="仿宋"/>
          <w:b w:val="0"/>
          <w:bCs/>
          <w:color w:val="000000"/>
          <w:sz w:val="24"/>
          <w:szCs w:val="24"/>
          <w:u w:val="single"/>
          <w:lang w:val="en-US" w:eastAsia="zh-CN"/>
        </w:rPr>
        <w:t>人民币（大写）        （￥     ）</w:t>
      </w:r>
      <w:r>
        <w:rPr>
          <w:rFonts w:hint="eastAsia" w:ascii="仿宋" w:hAnsi="仿宋" w:eastAsia="仿宋" w:cs="仿宋"/>
          <w:b w:val="0"/>
          <w:bCs/>
          <w:color w:val="000000"/>
          <w:sz w:val="24"/>
          <w:szCs w:val="24"/>
          <w:lang w:val="en-US" w:eastAsia="zh-CN"/>
        </w:rPr>
        <w:t>。</w:t>
      </w:r>
    </w:p>
    <w:p w14:paraId="7C06D513">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lang w:val="en-US" w:eastAsia="zh-CN"/>
        </w:rPr>
        <w:t>（二）</w:t>
      </w:r>
      <w:r>
        <w:rPr>
          <w:rFonts w:hint="eastAsia" w:ascii="仿宋" w:hAnsi="仿宋" w:eastAsia="仿宋" w:cs="仿宋"/>
          <w:b w:val="0"/>
          <w:bCs/>
          <w:color w:val="000000"/>
          <w:sz w:val="24"/>
          <w:szCs w:val="24"/>
          <w:highlight w:val="none"/>
          <w:lang w:val="en-US" w:eastAsia="zh-CN"/>
        </w:rPr>
        <w:t>合同为固定总价合同，不受市场价格变化因素的影响。</w:t>
      </w:r>
    </w:p>
    <w:p w14:paraId="2A40C515">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二、产品清单</w:t>
      </w:r>
    </w:p>
    <w:p w14:paraId="55AF0F43">
      <w:pPr>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设备名称、规格型号、制造厂商、数量、价款</w:t>
      </w:r>
    </w:p>
    <w:tbl>
      <w:tblPr>
        <w:tblStyle w:val="5"/>
        <w:tblW w:w="943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697"/>
        <w:gridCol w:w="1609"/>
        <w:gridCol w:w="1695"/>
        <w:gridCol w:w="870"/>
        <w:gridCol w:w="795"/>
        <w:gridCol w:w="1526"/>
        <w:gridCol w:w="1094"/>
      </w:tblGrid>
      <w:tr w14:paraId="085D9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6" w:type="dxa"/>
            <w:gridSpan w:val="2"/>
            <w:noWrap w:val="0"/>
            <w:vAlign w:val="center"/>
          </w:tcPr>
          <w:p w14:paraId="24DF7C94">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设备名称</w:t>
            </w:r>
          </w:p>
        </w:tc>
        <w:tc>
          <w:tcPr>
            <w:tcW w:w="1609" w:type="dxa"/>
            <w:noWrap w:val="0"/>
            <w:vAlign w:val="center"/>
          </w:tcPr>
          <w:p w14:paraId="4315880E">
            <w:pPr>
              <w:bidi w:val="0"/>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规格型号</w:t>
            </w:r>
          </w:p>
        </w:tc>
        <w:tc>
          <w:tcPr>
            <w:tcW w:w="1695" w:type="dxa"/>
            <w:noWrap w:val="0"/>
            <w:vAlign w:val="center"/>
          </w:tcPr>
          <w:p w14:paraId="1FEF7FDD">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制造厂商</w:t>
            </w:r>
          </w:p>
        </w:tc>
        <w:tc>
          <w:tcPr>
            <w:tcW w:w="870" w:type="dxa"/>
            <w:noWrap w:val="0"/>
            <w:vAlign w:val="center"/>
          </w:tcPr>
          <w:p w14:paraId="2B22362D">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795" w:type="dxa"/>
            <w:noWrap w:val="0"/>
            <w:vAlign w:val="center"/>
          </w:tcPr>
          <w:p w14:paraId="5B93BF58">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1526" w:type="dxa"/>
            <w:noWrap w:val="0"/>
            <w:vAlign w:val="center"/>
          </w:tcPr>
          <w:p w14:paraId="2752832A">
            <w:pPr>
              <w:bidi w:val="0"/>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rPr>
              <w:t>单价</w:t>
            </w:r>
            <w:r>
              <w:rPr>
                <w:rFonts w:hint="eastAsia" w:ascii="仿宋" w:hAnsi="仿宋" w:eastAsia="仿宋" w:cs="仿宋"/>
                <w:sz w:val="24"/>
                <w:szCs w:val="24"/>
                <w:lang w:val="en-US" w:eastAsia="zh-CN"/>
              </w:rPr>
              <w:t>(元）</w:t>
            </w:r>
          </w:p>
        </w:tc>
        <w:tc>
          <w:tcPr>
            <w:tcW w:w="1094" w:type="dxa"/>
            <w:noWrap w:val="0"/>
            <w:vAlign w:val="center"/>
          </w:tcPr>
          <w:p w14:paraId="18F96E7F">
            <w:pPr>
              <w:bidi w:val="0"/>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小计</w:t>
            </w:r>
            <w:r>
              <w:rPr>
                <w:rFonts w:hint="eastAsia" w:ascii="仿宋" w:hAnsi="仿宋" w:eastAsia="仿宋" w:cs="仿宋"/>
                <w:sz w:val="24"/>
                <w:szCs w:val="24"/>
                <w:lang w:eastAsia="zh-CN"/>
              </w:rPr>
              <w:t>（元）</w:t>
            </w:r>
          </w:p>
        </w:tc>
      </w:tr>
      <w:tr w14:paraId="7D4F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trPr>
        <w:tc>
          <w:tcPr>
            <w:tcW w:w="1846" w:type="dxa"/>
            <w:gridSpan w:val="2"/>
            <w:noWrap w:val="0"/>
            <w:vAlign w:val="center"/>
          </w:tcPr>
          <w:p w14:paraId="6BC218E3">
            <w:pPr>
              <w:jc w:val="center"/>
              <w:rPr>
                <w:rFonts w:hint="eastAsia" w:ascii="仿宋" w:hAnsi="仿宋" w:eastAsia="仿宋" w:cs="仿宋"/>
                <w:kern w:val="2"/>
                <w:sz w:val="24"/>
                <w:szCs w:val="24"/>
                <w:lang w:val="en-US" w:eastAsia="zh-CN" w:bidi="ar-SA"/>
              </w:rPr>
            </w:pPr>
          </w:p>
        </w:tc>
        <w:tc>
          <w:tcPr>
            <w:tcW w:w="1609" w:type="dxa"/>
            <w:noWrap w:val="0"/>
            <w:vAlign w:val="center"/>
          </w:tcPr>
          <w:p w14:paraId="478E7665">
            <w:pPr>
              <w:jc w:val="center"/>
              <w:rPr>
                <w:rFonts w:hint="eastAsia" w:ascii="仿宋" w:hAnsi="仿宋" w:eastAsia="仿宋" w:cs="仿宋"/>
                <w:kern w:val="2"/>
                <w:sz w:val="24"/>
                <w:szCs w:val="24"/>
                <w:lang w:val="en-US" w:eastAsia="zh-CN" w:bidi="ar-SA"/>
              </w:rPr>
            </w:pPr>
          </w:p>
        </w:tc>
        <w:tc>
          <w:tcPr>
            <w:tcW w:w="1695" w:type="dxa"/>
            <w:noWrap w:val="0"/>
            <w:vAlign w:val="center"/>
          </w:tcPr>
          <w:p w14:paraId="5A92CD7A">
            <w:pPr>
              <w:bidi w:val="0"/>
              <w:spacing w:line="360" w:lineRule="auto"/>
              <w:jc w:val="center"/>
              <w:rPr>
                <w:rFonts w:hint="eastAsia" w:ascii="仿宋" w:hAnsi="仿宋" w:eastAsia="仿宋" w:cs="仿宋"/>
                <w:sz w:val="24"/>
                <w:szCs w:val="24"/>
                <w:lang w:val="en-US" w:eastAsia="zh-CN"/>
              </w:rPr>
            </w:pPr>
          </w:p>
        </w:tc>
        <w:tc>
          <w:tcPr>
            <w:tcW w:w="870" w:type="dxa"/>
            <w:noWrap w:val="0"/>
            <w:vAlign w:val="center"/>
          </w:tcPr>
          <w:p w14:paraId="47A36331">
            <w:pPr>
              <w:bidi w:val="0"/>
              <w:spacing w:line="360" w:lineRule="auto"/>
              <w:jc w:val="center"/>
              <w:rPr>
                <w:rFonts w:hint="eastAsia" w:ascii="仿宋" w:hAnsi="仿宋" w:eastAsia="仿宋" w:cs="仿宋"/>
                <w:sz w:val="24"/>
                <w:szCs w:val="24"/>
                <w:lang w:val="en-US" w:eastAsia="zh-CN"/>
              </w:rPr>
            </w:pPr>
          </w:p>
        </w:tc>
        <w:tc>
          <w:tcPr>
            <w:tcW w:w="795" w:type="dxa"/>
            <w:noWrap w:val="0"/>
            <w:vAlign w:val="center"/>
          </w:tcPr>
          <w:p w14:paraId="3EF0EAF6">
            <w:pPr>
              <w:bidi w:val="0"/>
              <w:spacing w:line="360" w:lineRule="auto"/>
              <w:jc w:val="center"/>
              <w:rPr>
                <w:rFonts w:hint="eastAsia" w:ascii="仿宋" w:hAnsi="仿宋" w:eastAsia="仿宋" w:cs="仿宋"/>
                <w:sz w:val="24"/>
                <w:szCs w:val="24"/>
                <w:lang w:eastAsia="zh-CN"/>
              </w:rPr>
            </w:pPr>
          </w:p>
        </w:tc>
        <w:tc>
          <w:tcPr>
            <w:tcW w:w="1526" w:type="dxa"/>
            <w:noWrap w:val="0"/>
            <w:vAlign w:val="center"/>
          </w:tcPr>
          <w:p w14:paraId="0BC1293A">
            <w:pPr>
              <w:bidi w:val="0"/>
              <w:spacing w:line="360" w:lineRule="auto"/>
              <w:jc w:val="center"/>
              <w:rPr>
                <w:rFonts w:hint="eastAsia" w:ascii="仿宋" w:hAnsi="仿宋" w:eastAsia="仿宋" w:cs="仿宋"/>
                <w:sz w:val="24"/>
                <w:szCs w:val="24"/>
                <w:lang w:val="en-US" w:eastAsia="zh-CN"/>
              </w:rPr>
            </w:pPr>
          </w:p>
        </w:tc>
        <w:tc>
          <w:tcPr>
            <w:tcW w:w="1094" w:type="dxa"/>
            <w:noWrap w:val="0"/>
            <w:vAlign w:val="center"/>
          </w:tcPr>
          <w:p w14:paraId="74988BA1">
            <w:pPr>
              <w:bidi w:val="0"/>
              <w:spacing w:line="360" w:lineRule="auto"/>
              <w:jc w:val="center"/>
              <w:rPr>
                <w:rFonts w:hint="eastAsia" w:ascii="仿宋" w:hAnsi="仿宋" w:eastAsia="仿宋" w:cs="仿宋"/>
                <w:sz w:val="24"/>
                <w:szCs w:val="24"/>
                <w:lang w:val="en-US" w:eastAsia="zh-CN"/>
              </w:rPr>
            </w:pPr>
          </w:p>
        </w:tc>
      </w:tr>
      <w:tr w14:paraId="2FDAD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9" w:type="dxa"/>
            <w:vMerge w:val="restart"/>
            <w:noWrap w:val="0"/>
            <w:vAlign w:val="center"/>
          </w:tcPr>
          <w:p w14:paraId="08FBC1EC">
            <w:pPr>
              <w:bidi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总价</w:t>
            </w:r>
          </w:p>
        </w:tc>
        <w:tc>
          <w:tcPr>
            <w:tcW w:w="8286" w:type="dxa"/>
            <w:gridSpan w:val="7"/>
            <w:noWrap w:val="0"/>
            <w:vAlign w:val="top"/>
          </w:tcPr>
          <w:p w14:paraId="0157678E">
            <w:pPr>
              <w:bidi w:val="0"/>
              <w:spacing w:line="360" w:lineRule="auto"/>
              <w:rPr>
                <w:rFonts w:hint="eastAsia" w:ascii="仿宋" w:hAnsi="仿宋" w:eastAsia="仿宋" w:cs="仿宋"/>
                <w:sz w:val="24"/>
                <w:szCs w:val="24"/>
              </w:rPr>
            </w:pPr>
            <w:r>
              <w:rPr>
                <w:rFonts w:hint="eastAsia" w:ascii="仿宋" w:hAnsi="仿宋" w:eastAsia="仿宋" w:cs="仿宋"/>
                <w:sz w:val="24"/>
                <w:szCs w:val="24"/>
              </w:rPr>
              <w:t>（小写）￥</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元</w:t>
            </w:r>
          </w:p>
        </w:tc>
      </w:tr>
      <w:tr w14:paraId="1E721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49" w:type="dxa"/>
            <w:vMerge w:val="continue"/>
            <w:noWrap w:val="0"/>
            <w:vAlign w:val="top"/>
          </w:tcPr>
          <w:p w14:paraId="4752C8BA">
            <w:pPr>
              <w:bidi w:val="0"/>
              <w:spacing w:line="360" w:lineRule="auto"/>
              <w:rPr>
                <w:rFonts w:hint="eastAsia" w:ascii="仿宋" w:hAnsi="仿宋" w:eastAsia="仿宋" w:cs="仿宋"/>
                <w:sz w:val="24"/>
                <w:szCs w:val="24"/>
              </w:rPr>
            </w:pPr>
          </w:p>
        </w:tc>
        <w:tc>
          <w:tcPr>
            <w:tcW w:w="8286" w:type="dxa"/>
            <w:gridSpan w:val="7"/>
            <w:noWrap w:val="0"/>
            <w:vAlign w:val="top"/>
          </w:tcPr>
          <w:p w14:paraId="5CD97159">
            <w:pPr>
              <w:bidi w:val="0"/>
              <w:spacing w:line="360" w:lineRule="auto"/>
              <w:rPr>
                <w:rFonts w:hint="eastAsia" w:ascii="仿宋" w:hAnsi="仿宋" w:eastAsia="仿宋" w:cs="仿宋"/>
                <w:sz w:val="24"/>
                <w:szCs w:val="24"/>
                <w:lang w:eastAsia="zh-CN"/>
              </w:rPr>
            </w:pPr>
            <w:r>
              <w:rPr>
                <w:rFonts w:hint="eastAsia" w:ascii="仿宋" w:hAnsi="仿宋" w:eastAsia="仿宋" w:cs="仿宋"/>
                <w:sz w:val="24"/>
                <w:szCs w:val="24"/>
              </w:rPr>
              <w:t>（大写）</w:t>
            </w:r>
          </w:p>
        </w:tc>
      </w:tr>
    </w:tbl>
    <w:p w14:paraId="6CDD1705">
      <w:pPr>
        <w:bidi w:val="0"/>
        <w:spacing w:line="360" w:lineRule="auto"/>
        <w:rPr>
          <w:rFonts w:hint="eastAsia" w:ascii="仿宋" w:hAnsi="仿宋" w:eastAsia="仿宋" w:cs="仿宋"/>
          <w:sz w:val="24"/>
          <w:szCs w:val="24"/>
        </w:rPr>
      </w:pPr>
      <w:r>
        <w:rPr>
          <w:rFonts w:hint="eastAsia" w:ascii="仿宋" w:hAnsi="仿宋" w:eastAsia="仿宋" w:cs="仿宋"/>
          <w:sz w:val="24"/>
          <w:szCs w:val="24"/>
        </w:rPr>
        <w:t>说明：1、本合同价格为最终结算价格，包括安装、调试正常运行、验收合格后的价格（含保修费、零备件和运杂费、保险费、安装费、验收费、人员培训费</w:t>
      </w:r>
      <w:r>
        <w:rPr>
          <w:rFonts w:hint="eastAsia" w:ascii="仿宋" w:hAnsi="仿宋" w:eastAsia="仿宋" w:cs="仿宋"/>
          <w:sz w:val="24"/>
          <w:szCs w:val="24"/>
          <w:lang w:eastAsia="zh-CN"/>
        </w:rPr>
        <w:t>等</w:t>
      </w:r>
      <w:r>
        <w:rPr>
          <w:rFonts w:hint="eastAsia" w:ascii="仿宋" w:hAnsi="仿宋" w:eastAsia="仿宋" w:cs="仿宋"/>
          <w:sz w:val="24"/>
          <w:szCs w:val="24"/>
        </w:rPr>
        <w:t xml:space="preserve">及其它一切费用）。   </w:t>
      </w:r>
    </w:p>
    <w:p w14:paraId="186F99AE">
      <w:pPr>
        <w:bidi w:val="0"/>
        <w:spacing w:line="360" w:lineRule="auto"/>
        <w:ind w:firstLine="720" w:firstLineChars="300"/>
        <w:rPr>
          <w:rFonts w:hint="eastAsia" w:ascii="仿宋" w:hAnsi="仿宋" w:eastAsia="仿宋" w:cs="仿宋"/>
          <w:lang w:val="en-US" w:eastAsia="zh-CN"/>
        </w:rPr>
      </w:pPr>
      <w:r>
        <w:rPr>
          <w:rFonts w:hint="eastAsia" w:ascii="仿宋" w:hAnsi="仿宋" w:eastAsia="仿宋" w:cs="仿宋"/>
          <w:sz w:val="24"/>
          <w:szCs w:val="24"/>
        </w:rPr>
        <w:t>2、设备配置：详见设备配置清单、装箱单及产品彩页（含增配件）。</w:t>
      </w:r>
    </w:p>
    <w:p w14:paraId="3ADF859B">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三、款项结算</w:t>
      </w:r>
    </w:p>
    <w:p w14:paraId="44D8E8A2">
      <w:pPr>
        <w:spacing w:line="360" w:lineRule="auto"/>
        <w:ind w:firstLine="480" w:firstLineChars="200"/>
        <w:jc w:val="both"/>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w:t>
      </w:r>
      <w:r>
        <w:rPr>
          <w:rFonts w:hint="eastAsia" w:ascii="仿宋" w:hAnsi="仿宋" w:eastAsia="仿宋" w:cs="仿宋"/>
          <w:b w:val="0"/>
          <w:bCs w:val="0"/>
          <w:sz w:val="24"/>
          <w:szCs w:val="24"/>
          <w:highlight w:val="none"/>
          <w:lang w:val="en-US" w:eastAsia="zh-CN"/>
        </w:rPr>
        <w:t>合同签订后按进度付款，付款比例分别为合同总价款的</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9451C99">
      <w:pPr>
        <w:pStyle w:val="2"/>
        <w:spacing w:line="360" w:lineRule="auto"/>
        <w:ind w:firstLine="1205" w:firstLineChars="5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（具体以甲乙双方签订的合同为准）</w:t>
      </w:r>
    </w:p>
    <w:p w14:paraId="024C61FC">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（二）支付方式：银行转账。</w:t>
      </w:r>
    </w:p>
    <w:p w14:paraId="6C9E8EAB">
      <w:pPr>
        <w:pStyle w:val="2"/>
        <w:spacing w:line="360" w:lineRule="auto"/>
        <w:ind w:firstLine="960" w:firstLineChars="400"/>
        <w:rPr>
          <w:rFonts w:hint="eastAsia" w:ascii="仿宋" w:hAnsi="仿宋" w:eastAsia="仿宋" w:cs="仿宋"/>
          <w:b w:val="0"/>
          <w:bCs/>
          <w:color w:val="000000"/>
          <w:sz w:val="24"/>
          <w:szCs w:val="24"/>
          <w:highlight w:val="none"/>
          <w:u w:val="single"/>
          <w:lang w:val="en-US" w:eastAsia="zh-CN"/>
        </w:rPr>
      </w:pPr>
      <w:r>
        <w:rPr>
          <w:rFonts w:hint="eastAsia" w:ascii="仿宋" w:hAnsi="仿宋" w:eastAsia="仿宋" w:cs="仿宋"/>
          <w:b w:val="0"/>
          <w:bCs/>
          <w:color w:val="000000"/>
          <w:sz w:val="24"/>
          <w:szCs w:val="24"/>
          <w:highlight w:val="none"/>
          <w:lang w:val="en-US" w:eastAsia="zh-CN"/>
        </w:rPr>
        <w:t>乙方账户信息：户名：</w:t>
      </w:r>
      <w:r>
        <w:rPr>
          <w:rFonts w:hint="eastAsia" w:ascii="仿宋" w:hAnsi="仿宋" w:eastAsia="仿宋" w:cs="仿宋"/>
          <w:b w:val="0"/>
          <w:bCs/>
          <w:color w:val="000000"/>
          <w:sz w:val="24"/>
          <w:szCs w:val="24"/>
          <w:highlight w:val="none"/>
          <w:u w:val="single"/>
          <w:lang w:val="en-US" w:eastAsia="zh-CN"/>
        </w:rPr>
        <w:t xml:space="preserve">              </w:t>
      </w:r>
    </w:p>
    <w:p w14:paraId="6CD86945">
      <w:pPr>
        <w:pStyle w:val="2"/>
        <w:spacing w:line="360" w:lineRule="auto"/>
        <w:ind w:firstLine="960" w:firstLineChars="400"/>
        <w:rPr>
          <w:rFonts w:hint="eastAsia" w:ascii="仿宋" w:hAnsi="仿宋" w:eastAsia="仿宋" w:cs="仿宋"/>
          <w:b w:val="0"/>
          <w:bCs/>
          <w:color w:val="000000"/>
          <w:sz w:val="24"/>
          <w:szCs w:val="24"/>
          <w:highlight w:val="none"/>
          <w:u w:val="single"/>
          <w:lang w:val="en-US" w:eastAsia="zh-CN"/>
        </w:rPr>
      </w:pPr>
      <w:r>
        <w:rPr>
          <w:rFonts w:hint="eastAsia" w:ascii="仿宋" w:hAnsi="仿宋" w:eastAsia="仿宋" w:cs="仿宋"/>
          <w:b w:val="0"/>
          <w:bCs/>
          <w:color w:val="000000"/>
          <w:sz w:val="24"/>
          <w:szCs w:val="24"/>
          <w:highlight w:val="none"/>
          <w:lang w:val="en-US" w:eastAsia="zh-CN"/>
        </w:rPr>
        <w:t>开户银行：</w:t>
      </w:r>
      <w:r>
        <w:rPr>
          <w:rFonts w:hint="eastAsia" w:ascii="仿宋" w:hAnsi="仿宋" w:eastAsia="仿宋" w:cs="仿宋"/>
          <w:b w:val="0"/>
          <w:bCs/>
          <w:color w:val="000000"/>
          <w:sz w:val="24"/>
          <w:szCs w:val="24"/>
          <w:highlight w:val="none"/>
          <w:u w:val="single"/>
          <w:lang w:val="en-US" w:eastAsia="zh-CN"/>
        </w:rPr>
        <w:t xml:space="preserve">          </w:t>
      </w:r>
    </w:p>
    <w:p w14:paraId="6E9BE3E0">
      <w:pPr>
        <w:pStyle w:val="7"/>
        <w:spacing w:line="360" w:lineRule="auto"/>
        <w:ind w:firstLine="960" w:firstLineChars="400"/>
        <w:rPr>
          <w:rFonts w:hint="eastAsia" w:ascii="仿宋" w:hAnsi="仿宋" w:eastAsia="仿宋" w:cs="仿宋"/>
          <w:lang w:val="en-US" w:eastAsia="zh-CN"/>
        </w:rPr>
      </w:pPr>
      <w:r>
        <w:rPr>
          <w:rFonts w:hint="eastAsia" w:ascii="仿宋" w:hAnsi="仿宋" w:eastAsia="仿宋" w:cs="仿宋"/>
          <w:b w:val="0"/>
          <w:bCs/>
          <w:color w:val="000000"/>
          <w:sz w:val="24"/>
          <w:szCs w:val="24"/>
          <w:highlight w:val="none"/>
          <w:lang w:val="en-US" w:eastAsia="zh-CN"/>
        </w:rPr>
        <w:t>账号：</w:t>
      </w:r>
      <w:r>
        <w:rPr>
          <w:rFonts w:hint="eastAsia" w:ascii="仿宋" w:hAnsi="仿宋" w:eastAsia="仿宋" w:cs="仿宋"/>
          <w:b w:val="0"/>
          <w:bCs/>
          <w:color w:val="000000"/>
          <w:sz w:val="24"/>
          <w:szCs w:val="24"/>
          <w:highlight w:val="none"/>
          <w:u w:val="single"/>
          <w:lang w:val="en-US" w:eastAsia="zh-CN"/>
        </w:rPr>
        <w:t xml:space="preserve">              </w:t>
      </w:r>
    </w:p>
    <w:p w14:paraId="08A66E7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（三）结算方式：由乙方与采购人结算，发票开采购单位，到采购单位办理付款手续。甲方付款前，乙方应提供相应等额有效的增值税专用发票，否则甲方有权拒绝付款并不视为违约。</w:t>
      </w:r>
    </w:p>
    <w:p w14:paraId="14AC1586">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四、交货条件</w:t>
      </w:r>
    </w:p>
    <w:p w14:paraId="09FD79F6">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（一）交货地点：采购人指定地点。</w:t>
      </w:r>
    </w:p>
    <w:p w14:paraId="60BF36B8">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lang w:val="en-US" w:eastAsia="zh-CN"/>
        </w:rPr>
        <w:t>（二）交货期</w:t>
      </w:r>
      <w:r>
        <w:rPr>
          <w:rFonts w:hint="eastAsia" w:ascii="仿宋" w:hAnsi="仿宋" w:eastAsia="仿宋" w:cs="仿宋"/>
          <w:b w:val="0"/>
          <w:bCs/>
          <w:color w:val="000000"/>
          <w:sz w:val="24"/>
          <w:szCs w:val="24"/>
          <w:highlight w:val="none"/>
          <w:lang w:val="en-US" w:eastAsia="zh-CN"/>
        </w:rPr>
        <w:t>：</w:t>
      </w:r>
      <w:r>
        <w:rPr>
          <w:rFonts w:hint="eastAsia" w:ascii="仿宋" w:hAnsi="仿宋" w:eastAsia="仿宋" w:cs="仿宋"/>
          <w:color w:val="000000"/>
          <w:sz w:val="24"/>
          <w:highlight w:val="none"/>
          <w:lang w:val="en-US" w:eastAsia="zh-CN"/>
        </w:rPr>
        <w:t>合同签订后</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color w:val="000000"/>
          <w:sz w:val="24"/>
          <w:highlight w:val="none"/>
          <w:lang w:val="en-US" w:eastAsia="zh-CN"/>
        </w:rPr>
        <w:t>个日历天内</w:t>
      </w:r>
      <w:r>
        <w:rPr>
          <w:rFonts w:hint="eastAsia" w:ascii="仿宋" w:hAnsi="仿宋" w:eastAsia="仿宋" w:cs="仿宋"/>
          <w:b w:val="0"/>
          <w:bCs/>
          <w:color w:val="000000"/>
          <w:sz w:val="24"/>
          <w:szCs w:val="24"/>
          <w:highlight w:val="none"/>
          <w:lang w:val="en-US" w:eastAsia="zh-CN"/>
        </w:rPr>
        <w:t>。</w:t>
      </w:r>
    </w:p>
    <w:p w14:paraId="15A368E4">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（三）交货方式：乙方负责装卸、货物运输、摆放、安装至指定地点，并可正常使用。</w:t>
      </w:r>
    </w:p>
    <w:p w14:paraId="62C20021">
      <w:pPr>
        <w:spacing w:line="360" w:lineRule="auto"/>
        <w:ind w:left="799" w:leftChars="266" w:hanging="240" w:hangingChars="1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制造厂的检验、测试报告、设备检验合格证书，质量保证书等文件验收时须一并提供；</w:t>
      </w:r>
    </w:p>
    <w:p w14:paraId="2A5DC198">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设备验收标准；</w:t>
      </w:r>
    </w:p>
    <w:p w14:paraId="57E2BD51">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技术说明书及必须的其他技术资料；</w:t>
      </w:r>
    </w:p>
    <w:p w14:paraId="2BF481A0">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使用说明书；</w:t>
      </w:r>
    </w:p>
    <w:p w14:paraId="711A7BE9">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产品安装，调试；</w:t>
      </w:r>
    </w:p>
    <w:p w14:paraId="12ABACB0">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零部件目录；</w:t>
      </w:r>
    </w:p>
    <w:p w14:paraId="7646EE66">
      <w:pPr>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备品备件、易损件、耗材（价格）清单。</w:t>
      </w:r>
    </w:p>
    <w:p w14:paraId="0B478889">
      <w:pPr>
        <w:pStyle w:val="2"/>
        <w:spacing w:line="360" w:lineRule="auto"/>
        <w:rPr>
          <w:rFonts w:hint="eastAsia" w:ascii="仿宋" w:hAnsi="仿宋" w:eastAsia="仿宋" w:cs="仿宋"/>
          <w:b w:val="0"/>
          <w:bCs/>
          <w:color w:val="000000"/>
          <w:kern w:val="2"/>
          <w:sz w:val="24"/>
          <w:szCs w:val="24"/>
          <w:highlight w:val="none"/>
          <w:lang w:val="en-US" w:eastAsia="zh-CN" w:bidi="ar-SA"/>
        </w:rPr>
      </w:pPr>
      <w:r>
        <w:rPr>
          <w:rFonts w:hint="eastAsia" w:ascii="仿宋" w:hAnsi="仿宋" w:eastAsia="仿宋" w:cs="仿宋"/>
          <w:b w:val="0"/>
          <w:bCs/>
          <w:color w:val="000000"/>
          <w:kern w:val="2"/>
          <w:sz w:val="24"/>
          <w:szCs w:val="24"/>
          <w:highlight w:val="none"/>
          <w:lang w:val="en-US" w:eastAsia="zh-CN" w:bidi="ar-SA"/>
        </w:rPr>
        <w:t xml:space="preserve">   （四）设备到场时，外箱包装无损，随产品必须附该产品的检验合格证、检验报告等资料，如无相关资料甲方可拒绝接收。如合同设备外箱包装受损或发现合同设备包装箱件数不符，应在 2个工作日内通知乙方，以便乙方办理合同设备遇险索赔手续。</w:t>
      </w:r>
    </w:p>
    <w:p w14:paraId="663FF63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b w:val="0"/>
          <w:bCs/>
          <w:color w:val="000000"/>
          <w:sz w:val="24"/>
          <w:szCs w:val="24"/>
          <w:lang w:val="en-US" w:eastAsia="zh-CN"/>
        </w:rPr>
        <w:t>（五）</w:t>
      </w:r>
      <w:r>
        <w:rPr>
          <w:rFonts w:hint="eastAsia" w:ascii="仿宋" w:hAnsi="仿宋" w:eastAsia="仿宋" w:cs="仿宋"/>
          <w:color w:val="000000"/>
          <w:sz w:val="24"/>
          <w:highlight w:val="none"/>
          <w:lang w:val="en-US" w:eastAsia="zh-CN"/>
        </w:rPr>
        <w:t>质保期：</w:t>
      </w:r>
      <w:r>
        <w:rPr>
          <w:rFonts w:hint="eastAsia" w:ascii="仿宋" w:hAnsi="仿宋" w:eastAsia="仿宋" w:cs="仿宋"/>
          <w:color w:val="000000"/>
          <w:kern w:val="0"/>
          <w:sz w:val="24"/>
          <w:highlight w:val="none"/>
          <w:lang w:eastAsia="zh-CN"/>
        </w:rPr>
        <w:t>自验收合格之日起免费质保</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color w:val="000000"/>
          <w:kern w:val="0"/>
          <w:sz w:val="24"/>
          <w:highlight w:val="none"/>
          <w:lang w:eastAsia="zh-CN"/>
        </w:rPr>
        <w:t>年</w:t>
      </w:r>
      <w:r>
        <w:rPr>
          <w:rFonts w:hint="eastAsia" w:ascii="仿宋" w:hAnsi="仿宋" w:eastAsia="仿宋" w:cs="仿宋"/>
          <w:b w:val="0"/>
          <w:bCs/>
          <w:color w:val="000000"/>
          <w:sz w:val="24"/>
          <w:szCs w:val="24"/>
          <w:highlight w:val="none"/>
          <w:lang w:val="en-US" w:eastAsia="zh-CN"/>
        </w:rPr>
        <w:t>。</w:t>
      </w:r>
    </w:p>
    <w:p w14:paraId="47C21FF0">
      <w:pPr>
        <w:spacing w:line="360" w:lineRule="auto"/>
        <w:ind w:firstLine="482" w:firstLineChars="200"/>
        <w:jc w:val="both"/>
        <w:rPr>
          <w:rFonts w:hint="eastAsia" w:ascii="仿宋" w:hAnsi="仿宋" w:eastAsia="仿宋" w:cs="仿宋"/>
          <w:b/>
          <w:bCs w:val="0"/>
          <w:color w:val="000000"/>
          <w:sz w:val="24"/>
          <w:szCs w:val="24"/>
          <w:highlight w:val="none"/>
          <w:lang w:val="en-US" w:eastAsia="zh-CN"/>
        </w:rPr>
      </w:pPr>
      <w:r>
        <w:rPr>
          <w:rFonts w:hint="eastAsia" w:ascii="仿宋" w:hAnsi="仿宋" w:eastAsia="仿宋" w:cs="仿宋"/>
          <w:b/>
          <w:bCs w:val="0"/>
          <w:color w:val="000000"/>
          <w:sz w:val="24"/>
          <w:szCs w:val="24"/>
          <w:highlight w:val="none"/>
          <w:lang w:val="en-US" w:eastAsia="zh-CN"/>
        </w:rPr>
        <w:t>五、运输</w:t>
      </w:r>
    </w:p>
    <w:p w14:paraId="2D9BED70">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（一）运输由乙方负责，运杂费已包含在合同总价内，包括从货物供应地点所含的运输费、装卸费、仓储费、保险费，安装调试费等。</w:t>
      </w:r>
    </w:p>
    <w:p w14:paraId="0FEEFA9B">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（二）运输方式由乙方自行选择，但必须保证按期交货。</w:t>
      </w:r>
    </w:p>
    <w:p w14:paraId="1430D6D0">
      <w:pPr>
        <w:spacing w:line="360" w:lineRule="auto"/>
        <w:ind w:firstLine="482" w:firstLineChars="200"/>
        <w:jc w:val="both"/>
        <w:rPr>
          <w:rFonts w:hint="eastAsia" w:ascii="仿宋" w:hAnsi="仿宋" w:eastAsia="仿宋" w:cs="仿宋"/>
          <w:b/>
          <w:bCs w:val="0"/>
          <w:color w:val="000000"/>
          <w:sz w:val="24"/>
          <w:szCs w:val="24"/>
          <w:highlight w:val="none"/>
          <w:lang w:val="en-US" w:eastAsia="zh-CN"/>
        </w:rPr>
      </w:pPr>
      <w:r>
        <w:rPr>
          <w:rFonts w:hint="eastAsia" w:ascii="仿宋" w:hAnsi="仿宋" w:eastAsia="仿宋" w:cs="仿宋"/>
          <w:b/>
          <w:bCs w:val="0"/>
          <w:color w:val="000000"/>
          <w:sz w:val="24"/>
          <w:szCs w:val="24"/>
          <w:highlight w:val="none"/>
          <w:lang w:val="en-US" w:eastAsia="zh-CN"/>
        </w:rPr>
        <w:t>六、质量保证</w:t>
      </w:r>
    </w:p>
    <w:p w14:paraId="6C24A846">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乙方所供货物必须执行下列条款：</w:t>
      </w:r>
    </w:p>
    <w:p w14:paraId="04A8F08E">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（一）保证技术指标先进、质量性能可靠、进货渠道正常，配置合理，全面满足招标文件要求。</w:t>
      </w:r>
    </w:p>
    <w:p w14:paraId="40D79DD1">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（二）符合国家、省、市有关规范要求，确保达到最佳运行状态。</w:t>
      </w:r>
    </w:p>
    <w:p w14:paraId="315BBF6B">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（三）具有良好的外观，适合安装场所的使用。</w:t>
      </w:r>
    </w:p>
    <w:p w14:paraId="1B46AF8A">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（四）自安装、调试正常运行并验收合格之日起：</w:t>
      </w:r>
    </w:p>
    <w:p w14:paraId="29739526">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highlight w:val="none"/>
          <w:lang w:val="en-US" w:eastAsia="zh-CN"/>
        </w:rPr>
        <w:t>1、</w:t>
      </w:r>
      <w:r>
        <w:rPr>
          <w:rFonts w:hint="eastAsia" w:ascii="仿宋" w:hAnsi="仿宋" w:eastAsia="仿宋" w:cs="仿宋"/>
          <w:color w:val="000000"/>
          <w:kern w:val="0"/>
          <w:sz w:val="24"/>
          <w:highlight w:val="none"/>
          <w:lang w:eastAsia="zh-CN"/>
        </w:rPr>
        <w:t>自验收合格之日起免费质保不少于</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color w:val="000000"/>
          <w:kern w:val="0"/>
          <w:sz w:val="24"/>
          <w:highlight w:val="none"/>
          <w:lang w:eastAsia="zh-CN"/>
        </w:rPr>
        <w:t>年</w:t>
      </w:r>
      <w:r>
        <w:rPr>
          <w:rFonts w:hint="eastAsia" w:ascii="仿宋" w:hAnsi="仿宋" w:eastAsia="仿宋" w:cs="仿宋"/>
          <w:b w:val="0"/>
          <w:bCs/>
          <w:color w:val="000000"/>
          <w:sz w:val="24"/>
          <w:szCs w:val="24"/>
          <w:highlight w:val="none"/>
          <w:lang w:val="en-US" w:eastAsia="zh-CN"/>
        </w:rPr>
        <w:t>，终身维护，免费保修期内，同一主要部件出现质量问题经过两次维修后仍无法正常使用，可以更换同型</w:t>
      </w:r>
      <w:r>
        <w:rPr>
          <w:rFonts w:hint="eastAsia" w:ascii="仿宋" w:hAnsi="仿宋" w:eastAsia="仿宋" w:cs="仿宋"/>
          <w:b w:val="0"/>
          <w:bCs/>
          <w:color w:val="000000"/>
          <w:sz w:val="24"/>
          <w:szCs w:val="24"/>
          <w:lang w:val="en-US" w:eastAsia="zh-CN"/>
        </w:rPr>
        <w:t>号、同规格的产品，服务响应时间不超过2小时，解决问题不超过24小时，对问题较大短期内暂不能解决的，为不影响甲方正常工作，乙方在2日内免费提供替代产品，确保正常运行，替代品质量及标准不得低于原产品；</w:t>
      </w:r>
    </w:p>
    <w:p w14:paraId="50D0F1CA">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2、如出现质量问题，甲方有权选择换货或退货；</w:t>
      </w:r>
    </w:p>
    <w:p w14:paraId="26E84E08">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bCs/>
          <w:color w:val="000000"/>
          <w:sz w:val="24"/>
          <w:szCs w:val="24"/>
          <w:lang w:val="en-US" w:eastAsia="zh-CN"/>
        </w:rPr>
        <w:t>3、</w:t>
      </w:r>
      <w:r>
        <w:rPr>
          <w:rFonts w:hint="eastAsia" w:ascii="仿宋" w:hAnsi="仿宋" w:eastAsia="仿宋" w:cs="仿宋"/>
          <w:bCs/>
          <w:color w:val="000000"/>
          <w:sz w:val="24"/>
          <w:szCs w:val="24"/>
        </w:rPr>
        <w:t>乙方承诺其所提供的产品未侵犯任何第三方的合法权益，否则乙方应承担因此而给甲方造成的全部损失</w:t>
      </w:r>
      <w:r>
        <w:rPr>
          <w:rFonts w:hint="eastAsia" w:ascii="仿宋" w:hAnsi="仿宋" w:eastAsia="仿宋" w:cs="仿宋"/>
          <w:bCs/>
          <w:color w:val="000000"/>
          <w:sz w:val="24"/>
          <w:szCs w:val="24"/>
          <w:lang w:eastAsia="zh-CN"/>
        </w:rPr>
        <w:t>；</w:t>
      </w:r>
    </w:p>
    <w:p w14:paraId="5880CE18">
      <w:pPr>
        <w:numPr>
          <w:ilvl w:val="0"/>
          <w:numId w:val="0"/>
        </w:numPr>
        <w:spacing w:line="360" w:lineRule="auto"/>
        <w:ind w:firstLine="480" w:firstLineChars="200"/>
        <w:rPr>
          <w:rFonts w:hint="eastAsia" w:ascii="仿宋" w:hAnsi="仿宋" w:eastAsia="仿宋" w:cs="仿宋"/>
          <w:bCs/>
          <w:color w:val="000000"/>
          <w:sz w:val="24"/>
          <w:szCs w:val="24"/>
          <w:lang w:eastAsia="zh-CN"/>
        </w:rPr>
      </w:pPr>
      <w:r>
        <w:rPr>
          <w:rFonts w:hint="eastAsia" w:ascii="仿宋" w:hAnsi="仿宋" w:eastAsia="仿宋" w:cs="仿宋"/>
          <w:bCs/>
          <w:color w:val="000000"/>
          <w:sz w:val="24"/>
          <w:szCs w:val="24"/>
          <w:lang w:val="en-US" w:eastAsia="zh-CN"/>
        </w:rPr>
        <w:t>4、</w:t>
      </w:r>
      <w:r>
        <w:rPr>
          <w:rFonts w:hint="eastAsia" w:ascii="仿宋" w:hAnsi="仿宋" w:eastAsia="仿宋" w:cs="仿宋"/>
          <w:bCs/>
          <w:color w:val="000000"/>
          <w:sz w:val="24"/>
          <w:szCs w:val="24"/>
        </w:rPr>
        <w:t>乙方对其所提供的产品负责，如因产品存在瑕疵、缺陷等原因而造成任何人身、财产等安全事故的，由乙方承担全部责任及费用</w:t>
      </w:r>
      <w:r>
        <w:rPr>
          <w:rFonts w:hint="eastAsia" w:ascii="仿宋" w:hAnsi="仿宋" w:eastAsia="仿宋" w:cs="仿宋"/>
          <w:bCs/>
          <w:color w:val="000000"/>
          <w:sz w:val="24"/>
          <w:szCs w:val="24"/>
          <w:lang w:eastAsia="zh-CN"/>
        </w:rPr>
        <w:t>；</w:t>
      </w:r>
    </w:p>
    <w:p w14:paraId="3650AC06">
      <w:pPr>
        <w:numPr>
          <w:ilvl w:val="0"/>
          <w:numId w:val="0"/>
        </w:numPr>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5、货物到达甲方指定地点后,甲方有权根据合同要求,进行外观验收,确认产地、规格、型号和数量。乙方应保证产品性能及质量符合甲方要求并符合厂家规定的各项标准,货物技术指标经验收合格,应附验收报告；</w:t>
      </w:r>
    </w:p>
    <w:p w14:paraId="36959B2A">
      <w:pPr>
        <w:numPr>
          <w:ilvl w:val="0"/>
          <w:numId w:val="0"/>
        </w:numPr>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6、乙方应保证技术指标先进、质量性能可靠、进货渠道正常,配置合理,全面满足要求</w:t>
      </w:r>
    </w:p>
    <w:p w14:paraId="1C821784">
      <w:pPr>
        <w:numPr>
          <w:ilvl w:val="0"/>
          <w:numId w:val="0"/>
        </w:numPr>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7、符合国家有关规范要求,确保达到最佳运行状态；</w:t>
      </w:r>
    </w:p>
    <w:p w14:paraId="60AD09C1">
      <w:pPr>
        <w:numPr>
          <w:ilvl w:val="0"/>
          <w:numId w:val="0"/>
        </w:num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bCs/>
          <w:color w:val="000000"/>
          <w:sz w:val="24"/>
          <w:szCs w:val="24"/>
          <w:highlight w:val="none"/>
          <w:lang w:val="en-US" w:eastAsia="zh-CN"/>
        </w:rPr>
        <w:t>8、具有良好的外观,适合安装场所的使用。</w:t>
      </w:r>
    </w:p>
    <w:p w14:paraId="02FFAF11">
      <w:pPr>
        <w:spacing w:line="360" w:lineRule="auto"/>
        <w:ind w:firstLine="482" w:firstLineChars="200"/>
        <w:jc w:val="both"/>
        <w:rPr>
          <w:rFonts w:hint="eastAsia" w:ascii="仿宋" w:hAnsi="仿宋" w:eastAsia="仿宋" w:cs="仿宋"/>
          <w:b/>
          <w:bCs w:val="0"/>
          <w:color w:val="000000"/>
          <w:sz w:val="24"/>
          <w:szCs w:val="24"/>
          <w:highlight w:val="none"/>
          <w:lang w:val="en-US" w:eastAsia="zh-CN"/>
        </w:rPr>
      </w:pPr>
      <w:r>
        <w:rPr>
          <w:rFonts w:hint="eastAsia" w:ascii="仿宋" w:hAnsi="仿宋" w:eastAsia="仿宋" w:cs="仿宋"/>
          <w:b/>
          <w:bCs w:val="0"/>
          <w:color w:val="000000"/>
          <w:sz w:val="24"/>
          <w:szCs w:val="24"/>
          <w:highlight w:val="none"/>
          <w:lang w:val="en-US" w:eastAsia="zh-CN"/>
        </w:rPr>
        <w:t>七、售后服务</w:t>
      </w:r>
    </w:p>
    <w:p w14:paraId="1492AD5E">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乙方所供货物提供以下售后服务：</w:t>
      </w:r>
    </w:p>
    <w:p w14:paraId="1C70E794">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（一）质保期内：</w:t>
      </w:r>
    </w:p>
    <w:p w14:paraId="058CFA2B">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1.自安装、调试正常运行并验收合格之日起开始乙方应自验收合格之日起提供所有设备1年免费质保服务(主要设备须原厂质保）；</w:t>
      </w:r>
    </w:p>
    <w:p w14:paraId="1EDF6CFC">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2.免费保修期内,同一主要部件出现质量问题经过两次维修后仍无法正常使用,可以更换同型号、同规格的产品。（发生质量问题，产生的全部费用由乙方承担，若需送回生产厂，乙方承担往返费用。）</w:t>
      </w:r>
    </w:p>
    <w:p w14:paraId="4233EC27">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3.设备出现故障,接到使用客户维修电话2小时响应,24小时内工程师到位,如有较大事故,应保证厂方工程师在72小时内到达事故现场并进行处理,确保正常运行。</w:t>
      </w:r>
    </w:p>
    <w:p w14:paraId="47EE127A">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4.定期派技术人员到现场走访，给予检查维护；每个季度免费上门对设备进行专业的保养和维护不少于两次。</w:t>
      </w:r>
    </w:p>
    <w:p w14:paraId="42485ADE">
      <w:pPr>
        <w:spacing w:line="360" w:lineRule="auto"/>
        <w:ind w:firstLine="480" w:firstLineChars="200"/>
        <w:jc w:val="both"/>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（二）质保期结束前，进行系统测试，全面保养维护，确保正常运行。</w:t>
      </w:r>
    </w:p>
    <w:p w14:paraId="26C56C32">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八、技术与服务</w:t>
      </w:r>
    </w:p>
    <w:p w14:paraId="0B9FF3D0">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（一）技术资料：</w:t>
      </w:r>
    </w:p>
    <w:p w14:paraId="78DE0B5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1、货物合格证；</w:t>
      </w:r>
    </w:p>
    <w:p w14:paraId="7262849E">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2、货物使用说明书（中文）；</w:t>
      </w:r>
    </w:p>
    <w:p w14:paraId="295FF2D5">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3、项目竣工资料、检验测试报告；</w:t>
      </w:r>
    </w:p>
    <w:p w14:paraId="74AFE88E">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4、其他资料。</w:t>
      </w:r>
    </w:p>
    <w:p w14:paraId="5305F94D">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（二）服务承诺：以投标文件、澄清表（函）、合同和随货物的相关文件为准。</w:t>
      </w:r>
    </w:p>
    <w:p w14:paraId="0B190790">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九、验收</w:t>
      </w:r>
    </w:p>
    <w:p w14:paraId="70719C3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（一）验收标准</w:t>
      </w:r>
    </w:p>
    <w:p w14:paraId="1BFCB7B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1、包装：符合出厂规范,包装完整无破损，防雨、防潮等各种符号标识清楚，进口设备应具有原产国标识且标识清楚。</w:t>
      </w:r>
    </w:p>
    <w:p w14:paraId="0198D707">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2、安装：符合本合同项下产品的全部相关国家安全技术标准及甲方要求。</w:t>
      </w:r>
    </w:p>
    <w:p w14:paraId="1FE4EFD4">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3、产品：（1）必须为原装、全新、合格产品，渠道合法（2）符合供方与需方签订的购销合同（3）符合招、投标文件的技术要求（4）符合产品原样本技术数据（5）符合国家有关技术规范要求和安全、环保、节能等强制性标准（6）产品单证齐全（质量合格证、装箱清单、操作手册和维修手册等，如为进口产品，交货前须提供原产地证明、原厂生产检验合格证和海关手续等）。</w:t>
      </w:r>
    </w:p>
    <w:p w14:paraId="439B09DF">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（二）验收方法</w:t>
      </w:r>
    </w:p>
    <w:p w14:paraId="76D0C74C">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1、甲乙双方共同进行验收或依照有关法规、文件规定，由国家质量检验、商检等部门共同进行验收。所有安装、验收的手续由乙方办理并承担费用，甲方提供相关辅助。设备正常运行3个工作日后，经甲方通知，自通知送达之日起三日内，双方共同进行验收，甲方向乙方出具验收合格书面证明文件，视为设备验收合格。乙方逾期未到场或拒绝到场验收的，甲方可自行验收。</w:t>
      </w:r>
    </w:p>
    <w:p w14:paraId="08E73D12">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2、验收过程中发现设备存在瑕疵或质量问题的，乙方应无条件配合甲方进行维修、更换或退货工作，因此给甲方造成损失的，乙方就全部损失承担赔偿责任。</w:t>
      </w:r>
    </w:p>
    <w:p w14:paraId="160E837A">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十、人员培训</w:t>
      </w:r>
    </w:p>
    <w:p w14:paraId="75FD812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装机后乙方为甲方相关医护、技术及维修人员提供培训，直至双方认证合格，培训约定如下：</w:t>
      </w:r>
    </w:p>
    <w:p w14:paraId="1B401FE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 xml:space="preserve">（一）培训对象及人数：技术操作和维修人员3-5人   </w:t>
      </w:r>
    </w:p>
    <w:p w14:paraId="1A40B9FE">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 xml:space="preserve">（二）培训方式及地点：现场培训            </w:t>
      </w:r>
    </w:p>
    <w:p w14:paraId="6163AE0A">
      <w:pPr>
        <w:spacing w:line="360" w:lineRule="auto"/>
        <w:ind w:firstLine="480" w:firstLineChars="200"/>
        <w:jc w:val="both"/>
        <w:rPr>
          <w:rFonts w:hint="eastAsia" w:ascii="仿宋" w:hAnsi="仿宋" w:eastAsia="仿宋" w:cs="仿宋"/>
          <w:lang w:val="en-US" w:eastAsia="zh-CN"/>
        </w:rPr>
      </w:pPr>
      <w:r>
        <w:rPr>
          <w:rFonts w:hint="eastAsia" w:ascii="仿宋" w:hAnsi="仿宋" w:eastAsia="仿宋" w:cs="仿宋"/>
          <w:b w:val="0"/>
          <w:bCs/>
          <w:color w:val="000000"/>
          <w:sz w:val="24"/>
          <w:szCs w:val="24"/>
          <w:lang w:val="en-US" w:eastAsia="zh-CN"/>
        </w:rPr>
        <w:t>（三）培训时间及费用：免费培训，直至双方认证合格</w:t>
      </w:r>
    </w:p>
    <w:p w14:paraId="2D532E5F">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十一、违约责任</w:t>
      </w:r>
    </w:p>
    <w:p w14:paraId="44DD58DD">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（一）除本合同另有约定外，按《中华人民共和国政府采购法》、《中华人民共和国民法典》中的相关条款执行。</w:t>
      </w:r>
    </w:p>
    <w:p w14:paraId="761D02C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（二）未按合同要求提供货物或质量不能满足招标技术要求，乙方必须无条件更换，提高技术，完善质量，否则，甲方会同确认方有权终止合同，并要求乙方承担本合同总价款百分之三十的违约金。</w:t>
      </w:r>
    </w:p>
    <w:p w14:paraId="61E1287F">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三）乙方延迟交货，每逾一日，应承担本合同总价款的千分之一作为违约金；逾期超过十日的，甲方有权单方解除合同，并要求乙方承担本合同总价款百分之三十的违约金。因此产生的律师费、诉讼费、保全费等费用均由乙方承担。</w:t>
      </w:r>
    </w:p>
    <w:p w14:paraId="4AF67DF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（四）乙方如没有按合同规定履行售后服务承诺，甲方可另行选择第三方单位进行修复，其费用全部由乙方支付，且甲方有权追究乙方的违约责任。</w:t>
      </w:r>
    </w:p>
    <w:p w14:paraId="06878DCC">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十二、合同争议解决的方式</w:t>
      </w:r>
    </w:p>
    <w:p w14:paraId="48E937EB">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本合同在履行过程中发生的争议，由甲、乙双方当事人协商解决，协商不成的按下列第（二）种方式解决：</w:t>
      </w:r>
    </w:p>
    <w:p w14:paraId="1855C20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（一）提交西安仲裁委员会仲裁；</w:t>
      </w:r>
    </w:p>
    <w:p w14:paraId="4FD747C3">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（二）依法向甲方所在地人民法院起诉。</w:t>
      </w:r>
    </w:p>
    <w:p w14:paraId="699F116F">
      <w:pPr>
        <w:spacing w:line="360" w:lineRule="auto"/>
        <w:ind w:firstLine="482" w:firstLineChars="200"/>
        <w:jc w:val="both"/>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十三、合同生效</w:t>
      </w:r>
    </w:p>
    <w:p w14:paraId="0A2DE8F8">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（一）本合同经双方，鉴证方签字盖章或直接盖章后生效。</w:t>
      </w:r>
    </w:p>
    <w:p w14:paraId="331C7F3F">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（二）合同生效后，甲、乙双方须严格执行本合同条款的规定，全面履行合同，违者按《中华人民共和国民法典》的有关规定承担相应责任。</w:t>
      </w:r>
    </w:p>
    <w:p w14:paraId="02ED08F9">
      <w:pPr>
        <w:spacing w:line="360" w:lineRule="auto"/>
        <w:ind w:firstLine="480" w:firstLineChars="200"/>
        <w:jc w:val="both"/>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（三）本合同一式</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lang w:val="en-US" w:eastAsia="zh-CN"/>
        </w:rPr>
        <w:t>份，甲乙双方各执</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lang w:val="en-US" w:eastAsia="zh-CN"/>
        </w:rPr>
        <w:t>份，采购代理机构留存</w:t>
      </w:r>
      <w:r>
        <w:rPr>
          <w:rFonts w:hint="eastAsia" w:ascii="仿宋" w:hAnsi="仿宋" w:eastAsia="仿宋" w:cs="仿宋"/>
          <w:b w:val="0"/>
          <w:bCs/>
          <w:color w:val="000000"/>
          <w:sz w:val="24"/>
          <w:szCs w:val="24"/>
          <w:highlight w:val="none"/>
          <w:u w:val="single"/>
          <w:lang w:val="en-US" w:eastAsia="zh-CN"/>
        </w:rPr>
        <w:t xml:space="preserve">    </w:t>
      </w:r>
      <w:r>
        <w:rPr>
          <w:rFonts w:hint="eastAsia" w:ascii="仿宋" w:hAnsi="仿宋" w:eastAsia="仿宋" w:cs="仿宋"/>
          <w:b w:val="0"/>
          <w:bCs/>
          <w:color w:val="000000"/>
          <w:sz w:val="24"/>
          <w:szCs w:val="24"/>
          <w:lang w:val="en-US" w:eastAsia="zh-CN"/>
        </w:rPr>
        <w:t>份。</w:t>
      </w:r>
    </w:p>
    <w:p w14:paraId="16ABDAF1">
      <w:pPr>
        <w:pStyle w:val="2"/>
        <w:spacing w:line="360" w:lineRule="auto"/>
        <w:rPr>
          <w:rFonts w:hint="eastAsia" w:ascii="仿宋" w:hAnsi="仿宋" w:eastAsia="仿宋" w:cs="仿宋"/>
          <w:bCs/>
          <w:color w:val="000000"/>
          <w:sz w:val="24"/>
          <w:szCs w:val="24"/>
          <w:lang w:val="en-US" w:eastAsia="zh-CN"/>
        </w:rPr>
        <w:sectPr>
          <w:footerReference r:id="rId8" w:type="default"/>
          <w:pgSz w:w="11906" w:h="16838"/>
          <w:pgMar w:top="1440" w:right="1247" w:bottom="1440" w:left="1247" w:header="851" w:footer="992" w:gutter="0"/>
          <w:pgNumType w:fmt="numberInDash"/>
          <w:cols w:space="720" w:num="1"/>
          <w:docGrid w:type="lines" w:linePitch="312" w:charSpace="0"/>
        </w:sectPr>
      </w:pPr>
      <w:r>
        <w:rPr>
          <w:rFonts w:hint="eastAsia" w:ascii="仿宋" w:hAnsi="仿宋" w:eastAsia="仿宋" w:cs="仿宋"/>
          <w:bCs/>
          <w:color w:val="000000"/>
          <w:sz w:val="24"/>
          <w:szCs w:val="24"/>
          <w:lang w:val="en-US" w:eastAsia="zh-CN"/>
        </w:rPr>
        <w:t>（以下无正文）</w:t>
      </w:r>
    </w:p>
    <w:p w14:paraId="0E6974D2">
      <w:pPr>
        <w:pStyle w:val="7"/>
        <w:rPr>
          <w:rFonts w:hint="eastAsia" w:ascii="仿宋" w:hAnsi="仿宋" w:eastAsia="仿宋" w:cs="仿宋"/>
          <w:lang w:val="en-US" w:eastAsia="zh-CN"/>
        </w:rPr>
      </w:pPr>
    </w:p>
    <w:p w14:paraId="527724DB">
      <w:pPr>
        <w:spacing w:line="360" w:lineRule="auto"/>
        <w:rPr>
          <w:rFonts w:hint="eastAsia" w:ascii="仿宋" w:hAnsi="仿宋" w:eastAsia="仿宋" w:cs="仿宋"/>
          <w:lang w:val="en-US" w:eastAsia="zh-CN"/>
        </w:rPr>
      </w:pPr>
      <w:r>
        <w:rPr>
          <w:rFonts w:hint="eastAsia" w:ascii="仿宋" w:hAnsi="仿宋" w:eastAsia="仿宋" w:cs="仿宋"/>
          <w:bCs/>
          <w:color w:val="000000"/>
          <w:sz w:val="28"/>
          <w:szCs w:val="28"/>
          <w:lang w:val="en-US" w:eastAsia="zh-CN"/>
        </w:rPr>
        <w:t>（本页为签署页）</w:t>
      </w:r>
    </w:p>
    <w:p w14:paraId="5D7D918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color w:val="auto"/>
          <w:kern w:val="0"/>
          <w:sz w:val="24"/>
          <w:highlight w:val="none"/>
        </w:rPr>
      </w:pPr>
    </w:p>
    <w:tbl>
      <w:tblPr>
        <w:tblStyle w:val="5"/>
        <w:tblW w:w="0" w:type="auto"/>
        <w:jc w:val="center"/>
        <w:tblLayout w:type="fixed"/>
        <w:tblCellMar>
          <w:top w:w="0" w:type="dxa"/>
          <w:left w:w="108" w:type="dxa"/>
          <w:bottom w:w="0" w:type="dxa"/>
          <w:right w:w="108" w:type="dxa"/>
        </w:tblCellMar>
      </w:tblPr>
      <w:tblGrid>
        <w:gridCol w:w="4643"/>
        <w:gridCol w:w="4643"/>
      </w:tblGrid>
      <w:tr w14:paraId="2C9AD3BF">
        <w:tblPrEx>
          <w:tblCellMar>
            <w:top w:w="0" w:type="dxa"/>
            <w:left w:w="108" w:type="dxa"/>
            <w:bottom w:w="0" w:type="dxa"/>
            <w:right w:w="108" w:type="dxa"/>
          </w:tblCellMar>
        </w:tblPrEx>
        <w:trPr>
          <w:jc w:val="center"/>
        </w:trPr>
        <w:tc>
          <w:tcPr>
            <w:tcW w:w="4643" w:type="dxa"/>
            <w:noWrap w:val="0"/>
            <w:vAlign w:val="top"/>
          </w:tcPr>
          <w:p w14:paraId="6DF7B46A">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甲方名称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3C44D9A2">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6491D3F2">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2DB10999">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rPr>
              <w:t>电话：</w:t>
            </w:r>
          </w:p>
          <w:p w14:paraId="41B3E416">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0EB4E5CF">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c>
          <w:tcPr>
            <w:tcW w:w="4643" w:type="dxa"/>
            <w:noWrap w:val="0"/>
            <w:vAlign w:val="top"/>
          </w:tcPr>
          <w:p w14:paraId="7BFDF14F">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乙方名称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0AAB894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6E7A69AD">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3669714C">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6821BC07">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479F33D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帐号：</w:t>
            </w:r>
          </w:p>
        </w:tc>
      </w:tr>
      <w:tr w14:paraId="07C4E115">
        <w:tblPrEx>
          <w:tblCellMar>
            <w:top w:w="0" w:type="dxa"/>
            <w:left w:w="108" w:type="dxa"/>
            <w:bottom w:w="0" w:type="dxa"/>
            <w:right w:w="108" w:type="dxa"/>
          </w:tblCellMar>
        </w:tblPrEx>
        <w:trPr>
          <w:jc w:val="center"/>
        </w:trPr>
        <w:tc>
          <w:tcPr>
            <w:tcW w:w="4643" w:type="dxa"/>
            <w:noWrap w:val="0"/>
            <w:vAlign w:val="top"/>
          </w:tcPr>
          <w:p w14:paraId="750B33B8">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lang w:val="en-US" w:eastAsia="zh-CN"/>
              </w:rPr>
            </w:pPr>
          </w:p>
        </w:tc>
        <w:tc>
          <w:tcPr>
            <w:tcW w:w="4643" w:type="dxa"/>
            <w:noWrap w:val="0"/>
            <w:vAlign w:val="top"/>
          </w:tcPr>
          <w:p w14:paraId="66B61DDE">
            <w:pPr>
              <w:widowControl/>
              <w:autoSpaceDE w:val="0"/>
              <w:autoSpaceDN w:val="0"/>
              <w:snapToGrid w:val="0"/>
              <w:spacing w:line="360" w:lineRule="auto"/>
              <w:ind w:right="-154"/>
              <w:textAlignment w:val="bottom"/>
              <w:rPr>
                <w:rFonts w:hint="eastAsia" w:ascii="仿宋" w:hAnsi="仿宋" w:eastAsia="仿宋" w:cs="仿宋"/>
                <w:color w:val="auto"/>
                <w:kern w:val="0"/>
                <w:sz w:val="24"/>
                <w:highlight w:val="none"/>
              </w:rPr>
            </w:pPr>
          </w:p>
        </w:tc>
      </w:tr>
    </w:tbl>
    <w:p w14:paraId="6000B293">
      <w:pPr>
        <w:spacing w:line="360" w:lineRule="auto"/>
        <w:rPr>
          <w:rFonts w:hint="eastAsia" w:ascii="仿宋" w:hAnsi="仿宋" w:eastAsia="仿宋" w:cs="仿宋"/>
          <w:sz w:val="24"/>
        </w:rPr>
      </w:pPr>
    </w:p>
    <w:p w14:paraId="3FD0590D">
      <w:pPr>
        <w:jc w:val="right"/>
        <w:rPr>
          <w:b w:val="0"/>
          <w:bCs w:val="0"/>
        </w:rPr>
      </w:pPr>
      <w:r>
        <w:rPr>
          <w:rFonts w:hint="eastAsia" w:ascii="仿宋" w:hAnsi="仿宋" w:eastAsia="仿宋" w:cs="仿宋"/>
          <w:b w:val="0"/>
          <w:bCs w:val="0"/>
          <w:color w:val="auto"/>
          <w:lang w:val="en-US" w:eastAsia="zh-CN"/>
        </w:rPr>
        <w:t>附件：营业执照、委托书、受托人身份证明</w:t>
      </w:r>
    </w:p>
    <w:p w14:paraId="04F9F7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B0167">
    <w:pPr>
      <w:spacing w:line="280" w:lineRule="exact"/>
      <w:rPr>
        <w:rFonts w:hint="eastAsia" w:ascii="仿宋" w:hAnsi="仿宋" w:eastAsia="仿宋"/>
        <w:b/>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F094F8">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DF094F8">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ascii="仿宋" w:hAnsi="仿宋" w:eastAsia="仿宋"/>
        <w:b/>
        <w:szCs w:val="21"/>
      </w:rPr>
      <w:t xml:space="preserve">    </w:t>
    </w:r>
  </w:p>
  <w:p w14:paraId="3CDBDAC0">
    <w:pPr>
      <w:rPr>
        <w:rFonts w:hint="eastAsia"/>
      </w:rPr>
    </w:pPr>
    <w:r>
      <w:rPr>
        <w:rFonts w:hint="eastAsia" w:ascii="宋体" w:hAnsi="宋体"/>
        <w:bCs/>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608F7">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FCA8E">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B9A99">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3A07CEF">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13A07CEF">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A0612">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141BF">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E9E1E30"/>
    <w:rsid w:val="5A416A3F"/>
    <w:rsid w:val="64307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宋体" w:cs="Times New Roman"/>
      <w:b/>
      <w:bCs/>
      <w:sz w:val="44"/>
    </w:rPr>
  </w:style>
  <w:style w:type="paragraph" w:styleId="3">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customStyle="1" w:styleId="7">
    <w:name w:val="正文1"/>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3228</Words>
  <Characters>3287</Characters>
  <Lines>0</Lines>
  <Paragraphs>0</Paragraphs>
  <TotalTime>0</TotalTime>
  <ScaleCrop>false</ScaleCrop>
  <LinksUpToDate>false</LinksUpToDate>
  <CharactersWithSpaces>3552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2024-05-26T07:51:00Z</dcterms:created>
  <dc:creator>Administrator</dc:creator>
  <cp:lastModifiedBy>我曾站在离你最近的天涯1374317821</cp:lastModifiedBy>
  <dcterms:modified xsi:type="dcterms:W3CDTF">2025-06-27T09:28:00Z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61EA1BEF0A354A31BA6F38BB76A46BC3_13</vt:lpwstr>
  </property>
  <property fmtid="{D5CDD505-2E9C-101B-9397-08002B2CF9AE}" pid="4" name="KSOTemplateDocerSaveRecord">
    <vt:lpwstr>eyJoZGlkIjoiZTg3OGFkZTI0N2FjNWIzNzNkMzdjZGI0ZmZkYWI2MjEiLCJ1c2VySWQiOiIzNDcyNjc0In0=</vt:lpwstr>
  </property>
</Properties>
</file>