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版本号：YAZBTC2025-00320250630001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铜川高新技术产业开发区总体规划(2024-2035年)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YAZBTC2025-003</w:t>
      </w:r>
      <w:r>
        <w:br/>
      </w:r>
      <w:r>
        <w:br/>
      </w:r>
      <w:r>
        <w:br/>
      </w:r>
    </w:p>
    <w:p>
      <w:pPr>
        <w:pStyle w:val="null3"/>
        <w:jc w:val="center"/>
        <w:outlineLvl w:val="2"/>
      </w:pPr>
      <w:r>
        <w:rPr>
          <w:rFonts w:ascii="仿宋_GB2312" w:hAnsi="仿宋_GB2312" w:cs="仿宋_GB2312" w:eastAsia="仿宋_GB2312"/>
          <w:sz w:val="28"/>
          <w:b/>
        </w:rPr>
        <w:t>铜川市自然资源局新区分局</w:t>
      </w:r>
    </w:p>
    <w:p>
      <w:pPr>
        <w:pStyle w:val="null3"/>
        <w:jc w:val="center"/>
        <w:outlineLvl w:val="2"/>
      </w:pPr>
      <w:r>
        <w:rPr>
          <w:rFonts w:ascii="仿宋_GB2312" w:hAnsi="仿宋_GB2312" w:cs="仿宋_GB2312" w:eastAsia="仿宋_GB2312"/>
          <w:sz w:val="28"/>
          <w:b/>
        </w:rPr>
        <w:t>镱安项目管理有限公司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镱安项目管理有限公司</w:t>
      </w:r>
      <w:r>
        <w:rPr>
          <w:rFonts w:ascii="仿宋_GB2312" w:hAnsi="仿宋_GB2312" w:cs="仿宋_GB2312" w:eastAsia="仿宋_GB2312"/>
        </w:rPr>
        <w:t>（以下简称“代理机构”）受</w:t>
      </w:r>
      <w:r>
        <w:rPr>
          <w:rFonts w:ascii="仿宋_GB2312" w:hAnsi="仿宋_GB2312" w:cs="仿宋_GB2312" w:eastAsia="仿宋_GB2312"/>
        </w:rPr>
        <w:t>铜川市自然资源局新区分局</w:t>
      </w:r>
      <w:r>
        <w:rPr>
          <w:rFonts w:ascii="仿宋_GB2312" w:hAnsi="仿宋_GB2312" w:cs="仿宋_GB2312" w:eastAsia="仿宋_GB2312"/>
        </w:rPr>
        <w:t>委托，拟对</w:t>
      </w:r>
      <w:r>
        <w:rPr>
          <w:rFonts w:ascii="仿宋_GB2312" w:hAnsi="仿宋_GB2312" w:cs="仿宋_GB2312" w:eastAsia="仿宋_GB2312"/>
        </w:rPr>
        <w:t>铜川高新技术产业开发区总体规划(2024-2035年)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YAZBTC2025-003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铜川高新技术产业开发区总体规划(2024-2035年)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结合铜川市国土空间总体规划，根据《国务院关于促进国家高新技术产业开发区高质量发展的若干意见》，深入开展 高新开发区现状调研，研究分析现状企业建设情况，科学合理做好高新开发区布局规划，扎实合理编制铜川高新技术产业 开发区总体规划。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1、特定资格条件：（1）、具有独立承担民事责任能力的法人、其他组织或自然人，并出具合法有效的营业执照或事业单位法人证书等国家规定的相关证明，自然人参与的提供其身份证明； （2）、财务状况报告：提供具有财务审计资质单位出具的2023或2024年度财务报告或磋商前六个月内其基本账 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（7）、具有中华人民共和国自然资源部颁发的城乡规划编制甲级资质。 （8）、拟派项目负责人须具备注册城乡规划师专业资格证书及规划相关专业高级职称。（9）、供应商应授权合法的人员参加磋商全过程，其中法定代表直接参加磋商的，须出具法定代表人身份证明，并与营业执照上信息一致。授权代表参加磋商的，须出具法定代表人授权委托书； （10）、供应商不得为“信用中国(www.creditchina.gov.cn)”中列入失信被执行人名单的供应商，不得为“中国政府采购网(www.ccgp.gov.cn)”政府采购严重违法失信行为记录名单中被财政部门禁止参加政府采购活动的供应商； （11）、本项目不允许联合体磋商。（提供非联合体磋商承诺）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铜川市自然资源局新区分局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铜川市新区长虹北路9号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铜川市自然资源局新区分局经办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18220490162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镱安项目管理有限公司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陕西省西安市新城区陕西省西安市新城区石家街127号东岸国际17层1702室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15209199909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 采 行办 法》的通知（计价格〔 行 2002 〕1980 号）、《国家发展和 号 改革委员会办公厅关于招标代 理服务收费有关问题的通知》（发 改 改办价格〔 改 2003 〕857 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铜川市自然资源局新区分局</w:t>
      </w:r>
      <w:r>
        <w:rPr>
          <w:rFonts w:ascii="仿宋_GB2312" w:hAnsi="仿宋_GB2312" w:cs="仿宋_GB2312" w:eastAsia="仿宋_GB2312"/>
        </w:rPr>
        <w:t>和</w:t>
      </w:r>
      <w:r>
        <w:rPr>
          <w:rFonts w:ascii="仿宋_GB2312" w:hAnsi="仿宋_GB2312" w:cs="仿宋_GB2312" w:eastAsia="仿宋_GB2312"/>
        </w:rPr>
        <w:t>镱安项目管理有限公司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铜川市自然资源局新区分局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镱安项目管理有限公司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铜川市自然资源局新区分局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镱安项目管理有限公司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镱安项目管理有限公司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镱安项目管理有限公司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w:t>
      </w:r>
    </w:p>
    <w:p>
      <w:pPr>
        <w:pStyle w:val="null3"/>
      </w:pPr>
      <w:r>
        <w:rPr>
          <w:rFonts w:ascii="仿宋_GB2312" w:hAnsi="仿宋_GB2312" w:cs="仿宋_GB2312" w:eastAsia="仿宋_GB2312"/>
        </w:rPr>
        <w:t>联系电话：15209199909</w:t>
      </w:r>
    </w:p>
    <w:p>
      <w:pPr>
        <w:pStyle w:val="null3"/>
      </w:pPr>
      <w:r>
        <w:rPr>
          <w:rFonts w:ascii="仿宋_GB2312" w:hAnsi="仿宋_GB2312" w:cs="仿宋_GB2312" w:eastAsia="仿宋_GB2312"/>
        </w:rPr>
        <w:t>地址： 陕西省西安市新城区陕西省西安市新城区石家街127号东岸国际17层1702室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铜川市国土空间总体规划，根据《国务院关于促进国家高新技术产业开发区高质量发展的若干意见》，深入开展高新开发区现状调研，研究分析现状企业建设情况，科学合理做好高新开发区布局规划，扎实合理编制铜川高新技术产业开发区总体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铜川高新技术产业开发区总体规划(2024-2035年)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标的名称：铜川高新技术产业开发区总体规划(2024-2035年)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2"/>
                <w:b/>
              </w:rPr>
              <w:t>采购</w:t>
            </w:r>
            <w:r>
              <w:rPr>
                <w:rFonts w:ascii="仿宋_GB2312" w:hAnsi="仿宋_GB2312" w:cs="仿宋_GB2312" w:eastAsia="仿宋_GB2312"/>
                <w:sz w:val="32"/>
                <w:b/>
              </w:rPr>
              <w:t>内容</w:t>
            </w:r>
          </w:p>
          <w:p>
            <w:pPr>
              <w:pStyle w:val="null3"/>
              <w:numPr>
                <w:ilvl w:val="0"/>
                <w:numId w:val="1"/>
              </w:numPr>
              <w:jc w:val="center"/>
            </w:pPr>
            <w:r>
              <w:rPr>
                <w:rFonts w:ascii="仿宋_GB2312" w:hAnsi="仿宋_GB2312" w:cs="仿宋_GB2312" w:eastAsia="仿宋_GB2312"/>
                <w:sz w:val="28"/>
                <w:b/>
              </w:rPr>
              <w:t>项目背景</w:t>
            </w:r>
          </w:p>
          <w:p>
            <w:pPr>
              <w:pStyle w:val="null3"/>
              <w:ind w:firstLine="560"/>
              <w:jc w:val="left"/>
            </w:pPr>
            <w:r>
              <w:rPr>
                <w:rFonts w:ascii="仿宋_GB2312" w:hAnsi="仿宋_GB2312" w:cs="仿宋_GB2312" w:eastAsia="仿宋_GB2312"/>
                <w:sz w:val="28"/>
              </w:rPr>
              <w:t>近年来，铜川高新区锚定发展高科技、实现产业化、加快形成新质生产力的目标，持续发力，高新区产业集聚力、承载力和创新力不断增强，成为全市经济发展的强大引擎。铜川高新技术产业开发区内高新技术企业数量持续增加，创新主体不断壮大，创新平台日益完善。产业聚集效应进一步显现，提升了铜川高新技术产业开发区在全省产业布局中的地位。</w:t>
            </w:r>
          </w:p>
          <w:p>
            <w:pPr>
              <w:pStyle w:val="null3"/>
              <w:ind w:firstLine="560"/>
              <w:jc w:val="left"/>
            </w:pPr>
            <w:r>
              <w:rPr>
                <w:rFonts w:ascii="仿宋_GB2312" w:hAnsi="仿宋_GB2312" w:cs="仿宋_GB2312" w:eastAsia="仿宋_GB2312"/>
                <w:sz w:val="28"/>
              </w:rPr>
              <w:t>坚持新时代中国特色社会主义思想为指导，深入贯彻总书记三次来陕考察重要讲话重要指示精神，紧扣建设西部传统产业转型升级示范城市目标，全面对接铜川市国土空间总体规划，抢抓</w:t>
            </w:r>
            <w:r>
              <w:rPr>
                <w:rFonts w:ascii="仿宋_GB2312" w:hAnsi="仿宋_GB2312" w:cs="仿宋_GB2312" w:eastAsia="仿宋_GB2312"/>
                <w:sz w:val="28"/>
              </w:rPr>
              <w:t>“一带一路”等重大发展机遇，接续实施国家高新区创建引领行动，持续推动铜川高新技术产业开发区高质量发展，加快推进科技成果、科技人才、科技平台一体化建设，为全市的高质量全面转型发展注入新动能。</w:t>
            </w:r>
          </w:p>
          <w:p>
            <w:pPr>
              <w:pStyle w:val="null3"/>
              <w:numPr>
                <w:ilvl w:val="0"/>
                <w:numId w:val="1"/>
              </w:numPr>
              <w:ind w:firstLine="560"/>
              <w:jc w:val="left"/>
            </w:pPr>
            <w:r>
              <w:rPr>
                <w:rFonts w:ascii="仿宋_GB2312" w:hAnsi="仿宋_GB2312" w:cs="仿宋_GB2312" w:eastAsia="仿宋_GB2312"/>
                <w:sz w:val="28"/>
                <w:b/>
              </w:rPr>
              <w:t>主要目标</w:t>
            </w:r>
          </w:p>
          <w:p>
            <w:pPr>
              <w:pStyle w:val="null3"/>
              <w:ind w:firstLine="560"/>
              <w:jc w:val="left"/>
            </w:pPr>
            <w:r>
              <w:rPr>
                <w:rFonts w:ascii="仿宋_GB2312" w:hAnsi="仿宋_GB2312" w:cs="仿宋_GB2312" w:eastAsia="仿宋_GB2312"/>
                <w:sz w:val="28"/>
              </w:rPr>
              <w:t>结合铜川市国土空间总体规划，根据《国务院关于促进国家高新技术产业开发区高质量发展的若干意见》，深入开展高新开发区现状调研，研究分析现状企业建设情况，科学合理做好高新开发区布局规划，扎实合理编制铜川高新技术产业开发区总体规划。</w:t>
            </w:r>
          </w:p>
          <w:p>
            <w:pPr>
              <w:pStyle w:val="null3"/>
              <w:numPr>
                <w:ilvl w:val="0"/>
                <w:numId w:val="1"/>
              </w:numPr>
              <w:jc w:val="left"/>
            </w:pPr>
            <w:r>
              <w:rPr>
                <w:rFonts w:ascii="仿宋_GB2312" w:hAnsi="仿宋_GB2312" w:cs="仿宋_GB2312" w:eastAsia="仿宋_GB2312"/>
                <w:sz w:val="28"/>
                <w:b/>
              </w:rPr>
              <w:t>项目服务内容：</w:t>
            </w:r>
          </w:p>
          <w:p>
            <w:pPr>
              <w:pStyle w:val="null3"/>
              <w:ind w:firstLine="560"/>
              <w:jc w:val="left"/>
            </w:pPr>
            <w:r>
              <w:rPr>
                <w:rFonts w:ascii="仿宋_GB2312" w:hAnsi="仿宋_GB2312" w:cs="仿宋_GB2312" w:eastAsia="仿宋_GB2312"/>
                <w:sz w:val="28"/>
              </w:rPr>
              <w:t>从高新技术产业开发区实际情况出发，落实《铜川市国土空间总体规划</w:t>
            </w:r>
            <w:r>
              <w:rPr>
                <w:rFonts w:ascii="仿宋_GB2312" w:hAnsi="仿宋_GB2312" w:cs="仿宋_GB2312" w:eastAsia="仿宋_GB2312"/>
                <w:sz w:val="28"/>
              </w:rPr>
              <w:t>(2021-2035年)》确定的目标、指标、任务等要求，合理确定开发区的目标定位、产业发展、总体布局、功能结构、基础设施、环境保护、安全防灾等内容，以指导开发区建设，形成科学合理的铜川高新技术产业开发区总体规划成果。</w:t>
            </w:r>
          </w:p>
          <w:p>
            <w:pPr>
              <w:pStyle w:val="null3"/>
              <w:numPr>
                <w:ilvl w:val="0"/>
                <w:numId w:val="1"/>
              </w:numPr>
              <w:ind w:firstLine="560"/>
              <w:jc w:val="left"/>
            </w:pPr>
            <w:r>
              <w:rPr>
                <w:rFonts w:ascii="仿宋_GB2312" w:hAnsi="仿宋_GB2312" w:cs="仿宋_GB2312" w:eastAsia="仿宋_GB2312"/>
                <w:sz w:val="28"/>
                <w:b/>
              </w:rPr>
              <w:t>付款方式</w:t>
            </w:r>
          </w:p>
          <w:p>
            <w:pPr>
              <w:pStyle w:val="null3"/>
              <w:ind w:firstLine="560"/>
              <w:jc w:val="both"/>
            </w:pPr>
            <w:r>
              <w:rPr>
                <w:rFonts w:ascii="仿宋_GB2312" w:hAnsi="仿宋_GB2312" w:cs="仿宋_GB2312" w:eastAsia="仿宋_GB2312"/>
                <w:sz w:val="28"/>
              </w:rPr>
              <w:t>付款方式：分三次支付项目款</w:t>
            </w:r>
          </w:p>
          <w:p>
            <w:pPr>
              <w:pStyle w:val="null3"/>
              <w:ind w:firstLine="560"/>
              <w:jc w:val="left"/>
            </w:pPr>
            <w:r>
              <w:rPr>
                <w:rFonts w:ascii="仿宋_GB2312" w:hAnsi="仿宋_GB2312" w:cs="仿宋_GB2312" w:eastAsia="仿宋_GB2312"/>
                <w:sz w:val="28"/>
                <w:shd w:fill="FFFFFF" w:val="clear"/>
              </w:rPr>
              <w:t>1、付款条件说明：自合同签订之日起，达到付款条件起7日内，支付合同总金额的30.00%。</w:t>
            </w:r>
          </w:p>
          <w:p>
            <w:pPr>
              <w:pStyle w:val="null3"/>
              <w:ind w:firstLine="560"/>
              <w:jc w:val="left"/>
            </w:pPr>
            <w:r>
              <w:rPr>
                <w:rFonts w:ascii="仿宋_GB2312" w:hAnsi="仿宋_GB2312" w:cs="仿宋_GB2312" w:eastAsia="仿宋_GB2312"/>
                <w:sz w:val="28"/>
                <w:shd w:fill="FFFFFF" w:val="clear"/>
              </w:rPr>
              <w:t>2、付款条件说明：形成初步成果并通过专家审查后，达到付款条件起7日内，支付合同总金额的50.00%。</w:t>
            </w:r>
          </w:p>
          <w:p>
            <w:pPr>
              <w:pStyle w:val="null3"/>
              <w:jc w:val="both"/>
            </w:pPr>
            <w:r>
              <w:rPr>
                <w:rFonts w:ascii="仿宋_GB2312" w:hAnsi="仿宋_GB2312" w:cs="仿宋_GB2312" w:eastAsia="仿宋_GB2312"/>
                <w:sz w:val="28"/>
              </w:rPr>
              <w:t>3、付款条件说明：按照意见修改后提交规划成果，达到付款条件起7日内，支付合同总金额的20.00%。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满足采购人及服务合同需求。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满足相关技术规范、服务合同及采购人要求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自合同签订之日起</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形成初步成果并通过专家审查后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按照意见修改后提交规划成果</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成交供应商未按合同要求履行，不符合招标技术要求，成交供应商必须无条件更换 人员或产品，提高技术，完善质量，否则，采购人有权终止合同，并对成交供应商的违约行为进行追究并依法向成交供应商进 行经济索赔。</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1、服务期限：合同签订之日起180日历天；2、服务地点：采购人指定地点。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（2）、财务状况报告：提供具有财务审计资质单位出具的2023或2024年度财务报告或磋商前六个月内其基本账 户银行出具的资信证明或政府采购信用担保机构出具的磋商担保函； （3）、税收交纳证明：提供截止至磋商时间前六个月内任意二个月的缴费凭据；（依法免税的供应商应提供相关文件证明）； （4）、社会保障资金交纳证明：提供截止至磋商时间前六个月内任意二个月的社保缴费凭据或社保机构开具的社会保险参保缴费情况证明；（依法不需要交纳社会保障资金的供应商应提供相关证明）； （5）、提供具有履行本合同所必需的设备和专业技术能力的说明及承诺； （6）、提供参加政府采购活动前三年内在经营活动中没有重大违法记录的书面声明； （7）、具有中华人民共和国自然资源部颁发的城乡规划编制甲级资质。 （8）、拟派项目负责人须具备注册城乡规划师专业资格证书及规划相关专业高级职称。（9）、供应商应授权合法的人员参加磋商全过程，其中法定代表直接参加磋商的，须出具法定代表人身份证明，并与营业执照上信息一致。授权代表参加磋商的，须出具法定代表人授权委托书； （10）、供应商不得为“信用中国(www.creditchina.gov.cn)”中列入失信被执行人名单的供应商，不得为“中国政府采购网(www.ccgp.gov.cn)”政府采购严重违法失信行为记录名单中被财政部门禁止参加政府采购活动的供应商； （11）、本项目不允许联合体磋商。（提供非联合体磋商承诺）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磋商响应文件上要求法定代表人或被授权人签 字或盖章的是否齐全。</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分项报价表.docx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分项报价表.docx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服务内容及服务邀请应答表 法定代表人身份证明.docx 中小企业声明函 商务应答表 供应商应提交的相关资格证明材料 报价表 响应文件封面 分项报价表.docx 残疾人福利性单位声明函 服务方案 标的清单 其他资料.docx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服务内容及服务邀请应答表 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服务内容及服务邀请应答表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1、对本项目的理解。从项目背景、项目目标、工作任务等几方面进行描述，根据对项目理解详细程度计 0-5 分； 2、供应商对铜川高新技术产业开发区总体规划发展情况的基础研究把握。（1）对现状发展特点和问题识别清晰、形势研判科学合理的，得10-15 分；（2）对现状发展特点和问题识别较清晰、形势研判较为科学合理的，得 5-10（含）分；（3）对现状发展特点和问题识别不清晰、形势把握不准确的，得 0-5（含）分；（4）无相关内容不得分。 3、供应商能充分理解本项目的采购需求和实施特点，熟悉铜川高新技术产业开发区发展情况，因地制宜制定铜川高新技术产业开发区总体规划的工作思路、工作过程、技术方法等内容。 （1）思路清晰、能充分理解项目需求，整体思路完善，技术方法科学合理，规划内容切实可行的得 21-30 分； （2）基本理解项目需求，整体思路基本完善，技术方法较为科学合理，较能体现铜川高新技术产业开发区规划特点的得 11-20（含）分； （3）未充分了解项目需求，整体思路不完善，技术方法缺乏合理性，且未体现铜川高新技术产业开发区规划特点的得 1-10（含）分；（4）无相关内容不得分。 4、供应商针对铜川高新技术产业开发区总体规划存在的问题，提出下一步工作建议。 （1）提出建议措施具有可实施性和针对性，得 7-10 分； （2）提出建议措施基本可行，得 4-7（含）分； （3）提出建议措施不利于项目实施，得 1-4（含）分；（4）无相关内容不得分。 5、项目进度安排和服务质量保障。从项目进度安排、服务质量保障等方面描述，根据时间节点、工作机制、保障措施等有效程度，能否充分利用自身资源及相关技术手段保证成果质量要求程度进行评分，计0-5分。</w:t>
            </w:r>
          </w:p>
        </w:tc>
        <w:tc>
          <w:tcPr>
            <w:tcW w:type="dxa" w:w="831"/>
          </w:tcPr>
          <w:p>
            <w:pPr>
              <w:pStyle w:val="null3"/>
              <w:jc w:val="right"/>
            </w:pPr>
            <w:r>
              <w:rPr>
                <w:rFonts w:ascii="仿宋_GB2312" w:hAnsi="仿宋_GB2312" w:cs="仿宋_GB2312" w:eastAsia="仿宋_GB2312"/>
              </w:rPr>
              <w:t>65.0000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1、项目负责人具有正高级工程师职称与注册城乡规划师资格的，得3分；具有正高级工 程师职称，得2分；具有注册城乡规划师资格的，得1分；本项满分3分。（以职称证书及 注册证书为准）（响应文件内需提供职称证书及注册证书复印件及近半年任意一个月单位为其缴纳的社保证 明复印件） 2、项目主要参与人员（项目负责人除外）中，具有城乡规划相关专业高级职 称的，每提供 1 个得2分，最高得4分；具有城乡规划相关专业中级职称的，每提供 1 个 得 1 分，最高得3分。 （所有人员需为本单位在册在职人员，以近半年任意一个月社保证明为准）（响应 文件中同时提供有效证书复印件及近半年任意一个月单位为其缴纳的社保证明复印件，否则不得分）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提供近三年同类项目业绩（以合同或中标通知书为准,复印件加盖公章）每份计2分，计满 10分为止。（无相关业绩记0分）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对本项目实施及协调过程中的响应时效有明确承诺，并承诺积极按照采购人提出的要求或 意见改进工作，确保项目顺利实施，做出承诺实际可行，完全响应的计3-5分，有基本承 诺方案，方案一般的计0-3（含）分，服务承诺有负偏离或无服务承诺的不得分。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满足竞争性磋商文件要求且最终评审报价最低的报价为评标基准价，其价格分为满分。 其他供应商的价格分统一按照下列公式计算： 磋商报价得分=（评标基准价/磋商报价） ×价格权值。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