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版本号：HXZBTC2025-00520250603001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铜川市机动车尾气排放监管平台运维项目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HXZBTC2025-005</w:t>
      </w:r>
      <w:r>
        <w:br/>
      </w:r>
      <w:r>
        <w:br/>
      </w:r>
      <w:r>
        <w:br/>
      </w:r>
    </w:p>
    <w:p>
      <w:pPr>
        <w:pStyle w:val="null3"/>
        <w:jc w:val="center"/>
        <w:outlineLvl w:val="2"/>
      </w:pPr>
      <w:r>
        <w:rPr>
          <w:rFonts w:ascii="仿宋_GB2312" w:hAnsi="仿宋_GB2312" w:cs="仿宋_GB2312" w:eastAsia="仿宋_GB2312"/>
          <w:sz w:val="28"/>
          <w:b/>
        </w:rPr>
        <w:t>铜川市生态环境局</w:t>
      </w:r>
    </w:p>
    <w:p>
      <w:pPr>
        <w:pStyle w:val="null3"/>
        <w:jc w:val="center"/>
        <w:outlineLvl w:val="2"/>
      </w:pPr>
      <w:r>
        <w:rPr>
          <w:rFonts w:ascii="仿宋_GB2312" w:hAnsi="仿宋_GB2312" w:cs="仿宋_GB2312" w:eastAsia="仿宋_GB2312"/>
          <w:sz w:val="28"/>
          <w:b/>
        </w:rPr>
        <w:t>陕西汇兴项目管理有限公司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陕西汇兴项目管理有限公司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w:t>
      </w:r>
      <w:r>
        <w:rPr>
          <w:rFonts w:ascii="仿宋_GB2312" w:hAnsi="仿宋_GB2312" w:cs="仿宋_GB2312" w:eastAsia="仿宋_GB2312"/>
        </w:rPr>
        <w:t>委托，拟对</w:t>
      </w:r>
      <w:r>
        <w:rPr>
          <w:rFonts w:ascii="仿宋_GB2312" w:hAnsi="仿宋_GB2312" w:cs="仿宋_GB2312" w:eastAsia="仿宋_GB2312"/>
        </w:rPr>
        <w:t>铜川市机动车尾气排放监管平台运维项目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HXZBTC2025-005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铜川市机动车尾气排放监管平台运维项目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主要对铜川市机动车环保检测监控平台相关的主机设备、操作系统、数据库和存储设备及其他信息系统进行专业运 维，确保系统设备安全和稳定运行。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采购包1（铜川市机动车尾气排放监管平台运维项目）：属于专门面向中小企业采购。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 组织的应提供营业执 照等证明文件：供应商具有独立承担民事责任能力的法人、其他组织或自然人，并出具合法有效的营业执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2、财务状况报告： 提供2024年度经审计的财务报告或磋商前六个月内其基本账户银行出具的资信证明或政府采购信用担保机构出具的磋商担保函；</w:t>
      </w:r>
    </w:p>
    <w:p>
      <w:pPr>
        <w:pStyle w:val="null3"/>
      </w:pPr>
      <w:r>
        <w:rPr>
          <w:rFonts w:ascii="仿宋_GB2312" w:hAnsi="仿宋_GB2312" w:cs="仿宋_GB2312" w:eastAsia="仿宋_GB2312"/>
        </w:rPr>
        <w:t>3、税收交纳证明：供应商提供截止至磋商时间前六个月内任意二个月的缴费凭据；（依法免税的供应商应提 供相关文件证明）；</w:t>
      </w:r>
    </w:p>
    <w:p>
      <w:pPr>
        <w:pStyle w:val="null3"/>
      </w:pPr>
      <w:r>
        <w:rPr>
          <w:rFonts w:ascii="仿宋_GB2312" w:hAnsi="仿宋_GB2312" w:cs="仿宋_GB2312" w:eastAsia="仿宋_GB2312"/>
        </w:rPr>
        <w:t>4、社会保障资金交纳证明：供应商提供截止至磋商时间前六个月内任意二个月的社保缴费凭据或社保机构开具的社会 保险参保缴费情况证明；（依法不需要交纳社会保障资金的供应商应提供相关证明）；</w:t>
      </w:r>
    </w:p>
    <w:p>
      <w:pPr>
        <w:pStyle w:val="null3"/>
      </w:pPr>
      <w:r>
        <w:rPr>
          <w:rFonts w:ascii="仿宋_GB2312" w:hAnsi="仿宋_GB2312" w:cs="仿宋_GB2312" w:eastAsia="仿宋_GB2312"/>
        </w:rPr>
        <w:t>5、承诺、说明及书面声明：1、提供具有履行本合同所必需的设备和专业技术能力的说明及承诺； 2、提供参加政府 采购活动前三年内在经营活动中没有重大违法记录的书面声明；</w:t>
      </w:r>
    </w:p>
    <w:p>
      <w:pPr>
        <w:pStyle w:val="null3"/>
      </w:pPr>
      <w:r>
        <w:rPr>
          <w:rFonts w:ascii="仿宋_GB2312" w:hAnsi="仿宋_GB2312" w:cs="仿宋_GB2312" w:eastAsia="仿宋_GB2312"/>
        </w:rPr>
        <w:t>6、法定代表人授权书/ 法定代表人身份证明：法定代表人参与磋商时需提供法定代表人身份证明；被授权人参与磋商时需提供法定 代 表人授权委托书；</w:t>
      </w:r>
    </w:p>
    <w:p>
      <w:pPr>
        <w:pStyle w:val="null3"/>
      </w:pPr>
      <w:r>
        <w:rPr>
          <w:rFonts w:ascii="仿宋_GB2312" w:hAnsi="仿宋_GB2312" w:cs="仿宋_GB2312" w:eastAsia="仿宋_GB2312"/>
        </w:rPr>
        <w:t>7、信用查询：供应商不得为“信用中国(www.creditchina.gov.cn)”中列入失信被执行人名单的供应商 ，不得为“中国政府采购网(www.ccgp.gov.cn)”政府采购严重违法失信行为记录名单中 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铜川市新区齐庆璐4号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0919-3198096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改革委员会办公厅关于招标代 理服务收费有关问题的通知》（发 改 改办价格〔 改 2003 〕857 号）规定下浮3%收取代理服务费。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w:t>
      </w:r>
      <w:r>
        <w:rPr>
          <w:rFonts w:ascii="仿宋_GB2312" w:hAnsi="仿宋_GB2312" w:cs="仿宋_GB2312" w:eastAsia="仿宋_GB2312"/>
        </w:rPr>
        <w:t>和</w:t>
      </w:r>
      <w:r>
        <w:rPr>
          <w:rFonts w:ascii="仿宋_GB2312" w:hAnsi="仿宋_GB2312" w:cs="仿宋_GB2312" w:eastAsia="仿宋_GB2312"/>
        </w:rPr>
        <w:t>陕西汇兴项目管理有限公司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陕西汇兴项目管理有限公司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联系人：张伟</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地址：铜川市新区金谟西路11号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主要对铜川市机动车环保检测监控平台相关的主机设备、操作系统、数据库和存储设备及其他信息系统进行专业运维，确保系统设备安全和稳定运行。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344,000.00</w:t>
      </w:r>
    </w:p>
    <w:p>
      <w:pPr>
        <w:pStyle w:val="null3"/>
      </w:pPr>
      <w:r>
        <w:rPr>
          <w:rFonts w:ascii="仿宋_GB2312" w:hAnsi="仿宋_GB2312" w:cs="仿宋_GB2312" w:eastAsia="仿宋_GB2312"/>
        </w:rPr>
        <w:t>采购包最高限价（元）: 344,000.00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铜川市机动车尾气排放监管平台运维项目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标的名称：铜川市机动车尾气排放监管平台运维项目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运维内容概述</w:t>
            </w:r>
          </w:p>
          <w:p>
            <w:pPr>
              <w:pStyle w:val="null3"/>
            </w:pPr>
            <w:r>
              <w:rPr>
                <w:rFonts w:ascii="仿宋_GB2312" w:hAnsi="仿宋_GB2312" w:cs="仿宋_GB2312" w:eastAsia="仿宋_GB2312"/>
              </w:rPr>
              <w:t>铜川市机动车环保检测监控平台主要包括服务器、交换机、数据存储设备及配套软件等，主要功能是实现在用车排放检验实时在线监控、检验数据实时传输、及时分析处理，增强机动车环保检验机构和高排放车辆的监管能力，实现机动车环境管理系统化、科学化、法治化、精细化和信息化，进一步改善环境空气质量。</w:t>
            </w:r>
            <w:r>
              <w:rPr>
                <w:rFonts w:ascii="仿宋_GB2312" w:hAnsi="仿宋_GB2312" w:cs="仿宋_GB2312" w:eastAsia="仿宋_GB2312"/>
              </w:rPr>
              <w:t>为保证系统正常运行，现对铜川市</w:t>
            </w:r>
            <w:r>
              <w:rPr>
                <w:rFonts w:ascii="仿宋_GB2312" w:hAnsi="仿宋_GB2312" w:cs="仿宋_GB2312" w:eastAsia="仿宋_GB2312"/>
              </w:rPr>
              <w:t>机动车环保检测监控平台</w:t>
            </w:r>
            <w:r>
              <w:rPr>
                <w:rFonts w:ascii="仿宋_GB2312" w:hAnsi="仿宋_GB2312" w:cs="仿宋_GB2312" w:eastAsia="仿宋_GB2312"/>
              </w:rPr>
              <w:t>保障及时接收检测机构数据上传、满足生态环境部机动车排放检验数据报送考核等采购</w:t>
            </w:r>
            <w:r>
              <w:rPr>
                <w:rFonts w:ascii="仿宋_GB2312" w:hAnsi="仿宋_GB2312" w:cs="仿宋_GB2312" w:eastAsia="仿宋_GB2312"/>
              </w:rPr>
              <w:t>两</w:t>
            </w:r>
            <w:r>
              <w:rPr>
                <w:rFonts w:ascii="仿宋_GB2312" w:hAnsi="仿宋_GB2312" w:cs="仿宋_GB2312" w:eastAsia="仿宋_GB2312"/>
              </w:rPr>
              <w:t>年期运维服务。</w:t>
            </w:r>
          </w:p>
          <w:p>
            <w:pPr>
              <w:pStyle w:val="null3"/>
            </w:pPr>
            <w:r>
              <w:rPr>
                <w:rFonts w:ascii="仿宋_GB2312" w:hAnsi="仿宋_GB2312" w:cs="仿宋_GB2312" w:eastAsia="仿宋_GB2312"/>
              </w:rPr>
              <w:t>2.</w:t>
            </w:r>
            <w:r>
              <w:rPr>
                <w:rFonts w:ascii="仿宋_GB2312" w:hAnsi="仿宋_GB2312" w:cs="仿宋_GB2312" w:eastAsia="仿宋_GB2312"/>
              </w:rPr>
              <w:t>技术要求</w:t>
            </w:r>
          </w:p>
          <w:p>
            <w:pPr>
              <w:pStyle w:val="null3"/>
            </w:pPr>
            <w:r>
              <w:rPr>
                <w:rFonts w:ascii="仿宋_GB2312" w:hAnsi="仿宋_GB2312" w:cs="仿宋_GB2312" w:eastAsia="仿宋_GB2312"/>
              </w:rPr>
              <w:t>2.1</w:t>
            </w:r>
            <w:r>
              <w:rPr>
                <w:rFonts w:ascii="仿宋_GB2312" w:hAnsi="仿宋_GB2312" w:cs="仿宋_GB2312" w:eastAsia="仿宋_GB2312"/>
              </w:rPr>
              <w:t>检测监控平台应用维护服务</w:t>
            </w:r>
          </w:p>
          <w:p>
            <w:pPr>
              <w:pStyle w:val="null3"/>
            </w:pPr>
            <w:r>
              <w:rPr>
                <w:rFonts w:ascii="仿宋_GB2312" w:hAnsi="仿宋_GB2312" w:cs="仿宋_GB2312" w:eastAsia="仿宋_GB2312"/>
              </w:rPr>
              <w:t>保证</w:t>
            </w:r>
            <w:r>
              <w:rPr>
                <w:rFonts w:ascii="仿宋_GB2312" w:hAnsi="仿宋_GB2312" w:cs="仿宋_GB2312" w:eastAsia="仿宋_GB2312"/>
              </w:rPr>
              <w:t>5*8</w:t>
            </w:r>
            <w:r>
              <w:rPr>
                <w:rFonts w:ascii="仿宋_GB2312" w:hAnsi="仿宋_GB2312" w:cs="仿宋_GB2312" w:eastAsia="仿宋_GB2312"/>
              </w:rPr>
              <w:t>小时系统运行正常、不允许影响现场检测车辆滞留，保障系统及时同步发放检测电子合格证。</w:t>
            </w:r>
          </w:p>
          <w:p>
            <w:pPr>
              <w:pStyle w:val="null3"/>
            </w:pPr>
            <w:r>
              <w:rPr>
                <w:rFonts w:ascii="仿宋_GB2312" w:hAnsi="仿宋_GB2312" w:cs="仿宋_GB2312" w:eastAsia="仿宋_GB2312"/>
              </w:rPr>
              <w:t>2.2</w:t>
            </w:r>
            <w:r>
              <w:rPr>
                <w:rFonts w:ascii="仿宋_GB2312" w:hAnsi="仿宋_GB2312" w:cs="仿宋_GB2312" w:eastAsia="仿宋_GB2312"/>
              </w:rPr>
              <w:t>省生态环境厅到铜川市生态环境局环保网络与检测专线运维服务</w:t>
            </w:r>
          </w:p>
          <w:p>
            <w:pPr>
              <w:pStyle w:val="null3"/>
            </w:pPr>
            <w:r>
              <w:rPr>
                <w:rFonts w:ascii="仿宋_GB2312" w:hAnsi="仿宋_GB2312" w:cs="仿宋_GB2312" w:eastAsia="仿宋_GB2312"/>
              </w:rPr>
              <w:t>负责业务通畅、运维防火墙、交换机等网络安全设备正常运行，确保检测机构数据与省节点实时同步上报，满足考核要求。</w:t>
            </w:r>
          </w:p>
          <w:p>
            <w:pPr>
              <w:pStyle w:val="null3"/>
            </w:pPr>
            <w:r>
              <w:rPr>
                <w:rFonts w:ascii="仿宋_GB2312" w:hAnsi="仿宋_GB2312" w:cs="仿宋_GB2312" w:eastAsia="仿宋_GB2312"/>
              </w:rPr>
              <w:t>2.3</w:t>
            </w:r>
            <w:r>
              <w:rPr>
                <w:rFonts w:ascii="仿宋_GB2312" w:hAnsi="仿宋_GB2312" w:cs="仿宋_GB2312" w:eastAsia="仿宋_GB2312"/>
              </w:rPr>
              <w:t>检验机构技术咨询与技术支持服务</w:t>
            </w:r>
          </w:p>
          <w:p>
            <w:pPr>
              <w:pStyle w:val="null3"/>
            </w:pPr>
            <w:r>
              <w:rPr>
                <w:rFonts w:ascii="仿宋_GB2312" w:hAnsi="仿宋_GB2312" w:cs="仿宋_GB2312" w:eastAsia="仿宋_GB2312"/>
              </w:rPr>
              <w:t>通过及时通讯或远程方式，为检测机构联网检测过程中遇到的传输问题提供技术支持。除了常规的技术咨询与支持服务之外，针对省市各级发布的临时通知、系统传输架构的调整以及任何涉及系统优化的相关部分，进行及时的反馈与联网调试。以此确保我市机动车检测业务的顺畅运行。</w:t>
            </w:r>
          </w:p>
          <w:p>
            <w:pPr>
              <w:pStyle w:val="null3"/>
            </w:pPr>
            <w:r>
              <w:rPr>
                <w:rFonts w:ascii="仿宋_GB2312" w:hAnsi="仿宋_GB2312" w:cs="仿宋_GB2312" w:eastAsia="仿宋_GB2312"/>
              </w:rPr>
              <w:t>2.4</w:t>
            </w:r>
            <w:r>
              <w:rPr>
                <w:rFonts w:ascii="仿宋_GB2312" w:hAnsi="仿宋_GB2312" w:cs="仿宋_GB2312" w:eastAsia="仿宋_GB2312"/>
              </w:rPr>
              <w:t>主机、存储系统运维服务</w:t>
            </w:r>
          </w:p>
          <w:p>
            <w:pPr>
              <w:pStyle w:val="null3"/>
            </w:pPr>
            <w:r>
              <w:rPr>
                <w:rFonts w:ascii="仿宋_GB2312" w:hAnsi="仿宋_GB2312" w:cs="仿宋_GB2312" w:eastAsia="仿宋_GB2312"/>
              </w:rPr>
              <w:t>对硬件服务器、存储服务器、防火墙与交换机等设备进行日常监控维护维修等服务。</w:t>
            </w:r>
          </w:p>
          <w:p>
            <w:pPr>
              <w:pStyle w:val="null3"/>
            </w:pPr>
            <w:r>
              <w:rPr>
                <w:rFonts w:ascii="仿宋_GB2312" w:hAnsi="仿宋_GB2312" w:cs="仿宋_GB2312" w:eastAsia="仿宋_GB2312"/>
              </w:rPr>
              <w:t>2.5</w:t>
            </w:r>
            <w:r>
              <w:rPr>
                <w:rFonts w:ascii="仿宋_GB2312" w:hAnsi="仿宋_GB2312" w:cs="仿宋_GB2312" w:eastAsia="仿宋_GB2312"/>
              </w:rPr>
              <w:t>核心数据库系统运维服务</w:t>
            </w:r>
          </w:p>
          <w:p>
            <w:pPr>
              <w:pStyle w:val="null3"/>
            </w:pPr>
            <w:r>
              <w:rPr>
                <w:rFonts w:ascii="仿宋_GB2312" w:hAnsi="仿宋_GB2312" w:cs="仿宋_GB2312" w:eastAsia="仿宋_GB2312"/>
              </w:rPr>
              <w:t>对核心数据库进行日常巡检、优化、磁盘清理、数据备份、升级、补丁、杀毒等</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6</w:t>
            </w:r>
            <w:r>
              <w:rPr>
                <w:rFonts w:ascii="仿宋_GB2312" w:hAnsi="仿宋_GB2312" w:cs="仿宋_GB2312" w:eastAsia="仿宋_GB2312"/>
              </w:rPr>
              <w:t>网络安全管理运维服务</w:t>
            </w:r>
          </w:p>
          <w:p>
            <w:pPr>
              <w:pStyle w:val="null3"/>
            </w:pPr>
            <w:r>
              <w:rPr>
                <w:rFonts w:ascii="仿宋_GB2312" w:hAnsi="仿宋_GB2312" w:cs="仿宋_GB2312" w:eastAsia="仿宋_GB2312"/>
              </w:rPr>
              <w:t>系统安全、定期杀毒、渗透、漏扫及漏洞修复，以及紧急安全事件响应等服务</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7</w:t>
            </w:r>
            <w:r>
              <w:rPr>
                <w:rFonts w:ascii="仿宋_GB2312" w:hAnsi="仿宋_GB2312" w:cs="仿宋_GB2312" w:eastAsia="仿宋_GB2312"/>
              </w:rPr>
              <w:t>排放检验数据报送服务</w:t>
            </w:r>
          </w:p>
          <w:p>
            <w:pPr>
              <w:pStyle w:val="null3"/>
            </w:pPr>
            <w:r>
              <w:rPr>
                <w:rFonts w:ascii="仿宋_GB2312" w:hAnsi="仿宋_GB2312" w:cs="仿宋_GB2312" w:eastAsia="仿宋_GB2312"/>
              </w:rPr>
              <w:t>及时与生态环境部、省数据库标准等同步更新、升级、并及时与我市检测机构数据关联</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8</w:t>
            </w:r>
            <w:r>
              <w:rPr>
                <w:rFonts w:ascii="仿宋_GB2312" w:hAnsi="仿宋_GB2312" w:cs="仿宋_GB2312" w:eastAsia="仿宋_GB2312"/>
              </w:rPr>
              <w:t>安全等级保护测评</w:t>
            </w:r>
          </w:p>
          <w:p>
            <w:pPr>
              <w:pStyle w:val="null3"/>
            </w:pPr>
            <w:r>
              <w:rPr>
                <w:rFonts w:ascii="仿宋_GB2312" w:hAnsi="仿宋_GB2312" w:cs="仿宋_GB2312" w:eastAsia="仿宋_GB2312"/>
              </w:rPr>
              <w:t>提供二级等级保护测评服务</w:t>
            </w:r>
            <w:r>
              <w:rPr>
                <w:rFonts w:ascii="仿宋_GB2312" w:hAnsi="仿宋_GB2312" w:cs="仿宋_GB2312" w:eastAsia="仿宋_GB2312"/>
              </w:rPr>
              <w:t>。</w:t>
            </w:r>
          </w:p>
          <w:p>
            <w:pPr>
              <w:pStyle w:val="null3"/>
              <w:jc w:val="both"/>
            </w:pPr>
            <w:r>
              <w:rPr>
                <w:rFonts w:ascii="仿宋_GB2312" w:hAnsi="仿宋_GB2312" w:cs="仿宋_GB2312" w:eastAsia="仿宋_GB2312"/>
                <w:sz w:val="21"/>
              </w:rPr>
              <w:t>注：本项目采购预算金额为两年服务费用，属于一签多年，第二年通过续签合同的方式执行。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自签定合同之日起一年（本项目属于一签多年，第二年通过续签合同的方式执行）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满足相关技术规范、服务合同及采购人要求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合同签订至运维期满12个月后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运维结束后经甲方验收合格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成交供应商未按合同要求履行，不符合招标技术要求，成交供应商必须无条件更换 人员或产品，提高技术，完善质量，否则，采购人有权终止合同，并对成交供应商的违约行为进行追究并依法向成交供应商进 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（1）、服务期限：自签定合同之日起一年（本项目属于一签多年，第二年通过续签合同的方式执行）；（2）、服务地点：采购人指定地点。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 组织的应提供营业执 照等证明文件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提供2024年度经审计的财务报告或磋商前六个月内其基本账户银行出具的资信证明或政府采购信用担保机构出具的磋商担保函；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供应商提供截止至磋商时间前六个月内任意二个月的缴费凭据；（依法免税的供应商应提 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供应商提供截止至磋商时间前六个月内任意二个月的社保缴费凭据或社保机构开具的社会 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承诺、说明及书面声明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 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法定代表人参与磋商时需提供法定代表人身份证明；被授权人参与磋商时需提供法定 代 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供应商不得为“信用中国(www.creditchina.gov.cn)”中列入失信被执行人名单的供应商 ，不得为“中国政府采购网(www.ccgp.gov.cn)”政府采购严重违法失信行为记录名单中 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磋商响应文件上要求法定代表人或被授权人签 字或盖章的，签字或盖章应齐全。</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业绩一览表.docx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运行基本维护方案</w:t>
            </w:r>
          </w:p>
        </w:tc>
        <w:tc>
          <w:tcPr>
            <w:tcW w:type="dxa" w:w="2492"/>
          </w:tcPr>
          <w:p>
            <w:pPr>
              <w:pStyle w:val="null3"/>
            </w:pPr>
            <w:r>
              <w:rPr>
                <w:rFonts w:ascii="仿宋_GB2312" w:hAnsi="仿宋_GB2312" w:cs="仿宋_GB2312" w:eastAsia="仿宋_GB2312"/>
              </w:rPr>
              <w:t>针对本项目的采购要求，对供应商的维护方案是否合理科学，目的是否明确，执行标准 、规范是否明确进行评审，根据其响应情况横向比较打分。维护方案合理科学，目的明 确，执行标准、规范明确，充分满足磋商文件要求计(12-20分]；维护方案基本合理科 学，目的基本明确，执行标准、规范基本明确，满足磋商文件要求的计(6-12分]；维护 方案内容存在缺漏但不影响磋商响应文件有效性的计[0-6分]。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对项目背景和需求的理解</w:t>
            </w:r>
          </w:p>
        </w:tc>
        <w:tc>
          <w:tcPr>
            <w:tcW w:type="dxa" w:w="2492"/>
          </w:tcPr>
          <w:p>
            <w:pPr>
              <w:pStyle w:val="null3"/>
            </w:pPr>
            <w:r>
              <w:rPr>
                <w:rFonts w:ascii="仿宋_GB2312" w:hAnsi="仿宋_GB2312" w:cs="仿宋_GB2312" w:eastAsia="仿宋_GB2312"/>
              </w:rPr>
              <w:t>根据供应商提供的针对项目背景、项目实施情况了解，项目任务目标及需求理解深刻， 项目现状和项目整体认知、思路清晰明确，按其响应程度横向比较打分。 供应商对项目 的背景和需求具有深刻的理解，对项目服务目标和服务内容进行完整、合理的阐述计(4- 7.5分]，供应商对项目工作需求的理解基本准确到位；满足采购人基本服务要求计(2.5- 4分]；供应商对于本项目的理解较差，不能完全满足采购人实际需求计[0-2.5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完全承诺磋商文件和合同条款的要求，并针对本项目实际需求提供实质性承诺（包括维 修服务、应急响应及应急处理服务、服务响应方式），服务内容完善，根据响应程度得 0～7.5 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 理 方 案</w:t>
            </w:r>
          </w:p>
        </w:tc>
        <w:tc>
          <w:tcPr>
            <w:tcW w:type="dxa" w:w="2492"/>
          </w:tcPr>
          <w:p>
            <w:pPr>
              <w:pStyle w:val="null3"/>
            </w:pPr>
            <w:r>
              <w:rPr>
                <w:rFonts w:ascii="仿宋_GB2312" w:hAnsi="仿宋_GB2312" w:cs="仿宋_GB2312" w:eastAsia="仿宋_GB2312"/>
              </w:rPr>
              <w:t>结合本项目实际情况，磋商报价人应建立完善的服务规章制度、奖惩措施、人员管理方 法等，按其响应程度横向比较。磋商报价人有完善的服务规章制度、明确的项目管理职 责与分工、可操作性强的奖惩措施，能有效地保证服务质量，确保服务人员按时按量完 成服务工作计(10-15 分]； 磋商报价人有基本能满足采购人需求，日常管理制度完善、 程序规范，管理措施及奖惩措施较为合理计(5-10分]；磋商报价人所提供的服务规章制 度、奖惩措施不尽完善、不能完全满足采购人实际应用需求计[1-5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 织 机 构 设 置 和 岗 位 职 责</w:t>
            </w:r>
          </w:p>
        </w:tc>
        <w:tc>
          <w:tcPr>
            <w:tcW w:type="dxa" w:w="2492"/>
          </w:tcPr>
          <w:p>
            <w:pPr>
              <w:pStyle w:val="null3"/>
            </w:pPr>
            <w:r>
              <w:rPr>
                <w:rFonts w:ascii="仿宋_GB2312" w:hAnsi="仿宋_GB2312" w:cs="仿宋_GB2312" w:eastAsia="仿宋_GB2312"/>
              </w:rPr>
              <w:t>根据供应商提供的企业管理组织架构、人员分工和工作职责划分、业务管理流程进行横 向比较，综合赋分。有具体成员名单，包括姓名、执业资格证书、工作经验、工作职责 、联系方式等）企业组织架构完善、人员分工和工作职责划分明确、业务管理流程详尽 、完整的计(8-12 分]；企业组织架构清晰、人员分工和工作职责划分比较明确、业务管 理流程基本完整的计(4-8 分]；企业组织架构、人员分工和工作职责划分、业务管理流 程存在缺漏的计[0-4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 作 重 点 、 难 点 分 析 及 合 理 化 建 议</w:t>
            </w:r>
          </w:p>
        </w:tc>
        <w:tc>
          <w:tcPr>
            <w:tcW w:type="dxa" w:w="2492"/>
          </w:tcPr>
          <w:p>
            <w:pPr>
              <w:pStyle w:val="null3"/>
            </w:pPr>
            <w:r>
              <w:rPr>
                <w:rFonts w:ascii="仿宋_GB2312" w:hAnsi="仿宋_GB2312" w:cs="仿宋_GB2312" w:eastAsia="仿宋_GB2312"/>
              </w:rPr>
              <w:t>根据供应商提供的针对本项目的合理化建议进行评审，对项目实施过程中的关键性工作 ，重点、难点工作等可能影响项目实施进度的情况提出的合理化建议及解决方案，按其 响应程度横向比较。对关键性工作，重点、难点工作认识清晰准确、提出的合理化建议 及解决方案内容完善、详细，可行性高的计(5-8 分]；对关键性工作，重点、难点工作 认识准确、提出的合理化建议及解决方案内容基本完整、可行的计(2-5 分]； 对关键性 工作，重点、难点工作认识不清、提出的合理化建议及解决方案内容存在缺漏的计[0-2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期 内 的 质 量 保 证 措 施</w:t>
            </w:r>
          </w:p>
        </w:tc>
        <w:tc>
          <w:tcPr>
            <w:tcW w:type="dxa" w:w="2492"/>
          </w:tcPr>
          <w:p>
            <w:pPr>
              <w:pStyle w:val="null3"/>
            </w:pPr>
            <w:r>
              <w:rPr>
                <w:rFonts w:ascii="仿宋_GB2312" w:hAnsi="仿宋_GB2312" w:cs="仿宋_GB2312" w:eastAsia="仿宋_GB2312"/>
              </w:rPr>
              <w:t>根据磋商报价人对本项目质量保证措施方案的响应程度横向比较打分。有具体可行的质 量保证措施，方案具体、完整、可操作性强计(7-10 分]；方案较完整，质量保证措施内 容明确，可基本保证质量保证需求计(3-7 分]；方案有明显缺漏项，不能完全保证服务 期内质量保证需求，可操作性较差计[0-3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供应商需提供 2022 年6 月至今类似业绩，响应文件中附有其业绩证明材料，业绩以 合同文件为依据（复印件加盖公章），每提供一份计2.5 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满足竞争性磋商文件要求且最终评审报价最低的报价为评标基准价，其价格分为满分。 其他供应商的价格分统一按照下列公式计算： 磋商报价得分=（评标基准价/磋商报价） ×价格权值。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 同 书(参考).docx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