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版本号：ZSZB2025-0520250604002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铜川市加油站油气回收在线监测系统及数据监管平台运行维护项目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ZSZB2025-05</w:t>
      </w:r>
      <w:r>
        <w:br/>
      </w:r>
      <w:r>
        <w:br/>
      </w:r>
      <w:r>
        <w:br/>
      </w:r>
    </w:p>
    <w:p>
      <w:pPr>
        <w:pStyle w:val="null3"/>
        <w:jc w:val="center"/>
        <w:outlineLvl w:val="2"/>
      </w:pPr>
      <w:r>
        <w:rPr>
          <w:rFonts w:ascii="仿宋_GB2312" w:hAnsi="仿宋_GB2312" w:cs="仿宋_GB2312" w:eastAsia="仿宋_GB2312"/>
          <w:sz w:val="28"/>
          <w:b/>
        </w:rPr>
        <w:t>铜川市生态环境局</w:t>
      </w:r>
    </w:p>
    <w:p>
      <w:pPr>
        <w:pStyle w:val="null3"/>
        <w:jc w:val="center"/>
        <w:outlineLvl w:val="2"/>
      </w:pPr>
      <w:r>
        <w:rPr>
          <w:rFonts w:ascii="仿宋_GB2312" w:hAnsi="仿宋_GB2312" w:cs="仿宋_GB2312" w:eastAsia="仿宋_GB2312"/>
          <w:sz w:val="28"/>
          <w:b/>
        </w:rPr>
        <w:t>陕西中肆工程项目管理有限公司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陕西中肆工程项目管理有限公司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w:t>
      </w:r>
      <w:r>
        <w:rPr>
          <w:rFonts w:ascii="仿宋_GB2312" w:hAnsi="仿宋_GB2312" w:cs="仿宋_GB2312" w:eastAsia="仿宋_GB2312"/>
        </w:rPr>
        <w:t>委托，拟对</w:t>
      </w:r>
      <w:r>
        <w:rPr>
          <w:rFonts w:ascii="仿宋_GB2312" w:hAnsi="仿宋_GB2312" w:cs="仿宋_GB2312" w:eastAsia="仿宋_GB2312"/>
        </w:rPr>
        <w:t>铜川市加油站油气回收在线监测系统及数据监管平台运行维护项目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ZSZB2025-05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铜川市加油站油气回收在线监测系统及数据监管平台运行维护项目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加油站油气在线监测数据库服务器1套及数据监管平台1套，103套加油站厂界VOC监测、27座重点加油站在线监测设备进行运行维护，包含所有耗材、备件、维修、网费及其他相关费用，设备相关辅助设施及平台的维护、保养、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采购包1（铜川市加油站油气回收在线监测系统及监管平台运行维护项目）：属于专门面向中小企业采购。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1、特定资格要求：：（1）、供应商具有独立承担民事责任能力的法人、其他组织或自然人，并出具合法有效的营业执照或事业单位法人证书等国家规定的相关证明，自然人参与的提供其身份证明； （2）、财务状况报告：提供2023年度或2024年度经审计的财务报告或磋商前六个月内其基本账户银行出具的资信证明或政府采购信用担保机构出具的磋商担保函； （3）、税收交纳证明：供应商提供截止至磋商时间前六个月内任意一个月的缴费凭据；（依法免税的供应商应提供相关文件证明）； （4）、社会保障资金交纳证明：供应商提供截止至磋商时间前六个月内任意一个月的社保缴费凭据或社保机构开具的社会保险参保缴费情况证明；（依法不需要交纳社会保障资金的供应商应提供相关证明）； （5）、供应商提供具有履行本合同所必需的设备和专业技术能力的说明及承诺； （6）、供应商提供参加政府采购活动前三年内在经营活动中没有重大违法记录的书面声明； （7）、供应商应授权合法的人员参加磋商全过程，其中法定代表直接参加磋商的，须出具身份证，并与营业执照上信息一致。授权代表参加磋商的，须出具法定代表人授权委托书及授权代表身份证； （8）、供应商不得为“信用中国(www.creditchina.gov.cn)”中列入失信被执行人名单的供应商，不得为“中国政府采购网(www.ccgp.gov.cn)”政府采购严重违法失信行为记录名单中被财政部门禁止参加政府采购活动的供应商； （9）、本项目不允许联合体磋商。（提供非联合体磋商承诺）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铜川市新区齐庆璐4号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铜川市生态环境局经办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0919-3198096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陕西中肆工程项目管理有限公司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陕西省西安市莲湖区陕西省西安市高新区高新一路2号国家开发银行大厦24层12201室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刘瑞 赵娟娟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029-68683886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代理服务费用收取对象：成交供应商 代理服务费收费标准：确定中标人后3个工作日内，由中标人按国家计委颁发的《招标代理服务收费管理暂行办法》（计价格[2002]1980号）和国家发展改革委员会办公厅颁发的《关于招标代理服务收费有关问题的通知》（发改办价格[2003] 857号）的有关规定标准，按成交价下浮10%向采购代理机构一次付清招标代理服务费。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w:t>
      </w:r>
      <w:r>
        <w:rPr>
          <w:rFonts w:ascii="仿宋_GB2312" w:hAnsi="仿宋_GB2312" w:cs="仿宋_GB2312" w:eastAsia="仿宋_GB2312"/>
        </w:rPr>
        <w:t>和</w:t>
      </w:r>
      <w:r>
        <w:rPr>
          <w:rFonts w:ascii="仿宋_GB2312" w:hAnsi="仿宋_GB2312" w:cs="仿宋_GB2312" w:eastAsia="仿宋_GB2312"/>
        </w:rPr>
        <w:t>陕西中肆工程项目管理有限公司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陕西中肆工程项目管理有限公司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陕西中肆工程项目管理有限公司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陕西中肆工程项目管理有限公司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陕西中肆工程项目管理有限公司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陕西中肆工程项目管理有限公司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联系人：赵娟娟 刘瑞</w:t>
      </w:r>
    </w:p>
    <w:p>
      <w:pPr>
        <w:pStyle w:val="null3"/>
      </w:pPr>
      <w:r>
        <w:rPr>
          <w:rFonts w:ascii="仿宋_GB2312" w:hAnsi="仿宋_GB2312" w:cs="仿宋_GB2312" w:eastAsia="仿宋_GB2312"/>
        </w:rPr>
        <w:t>联系电话：029-68683886</w:t>
      </w:r>
    </w:p>
    <w:p>
      <w:pPr>
        <w:pStyle w:val="null3"/>
      </w:pPr>
      <w:r>
        <w:rPr>
          <w:rFonts w:ascii="仿宋_GB2312" w:hAnsi="仿宋_GB2312" w:cs="仿宋_GB2312" w:eastAsia="仿宋_GB2312"/>
        </w:rPr>
        <w:t>地址：陕西省西安市高新区高新一路2号国家开发银行大厦24楼（陕西中肆工程项目管理有限公司 ）</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加油站油气在线监测数据库服务器1套及数据监管平台1套，103套加油站厂界VOC监测、27座重点加油站在线监测设备进行运行维护，包含所有耗材、备件、维修、网费及其他相关费用，设备相关辅助设施及平台的维护、保养、维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697,000.00</w:t>
      </w:r>
    </w:p>
    <w:p>
      <w:pPr>
        <w:pStyle w:val="null3"/>
      </w:pPr>
      <w:r>
        <w:rPr>
          <w:rFonts w:ascii="仿宋_GB2312" w:hAnsi="仿宋_GB2312" w:cs="仿宋_GB2312" w:eastAsia="仿宋_GB2312"/>
        </w:rPr>
        <w:t>采购包最高限价（元）: 697,000.00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铜川市加油站油气回收在线监测系统及数据监管平台运行维护项目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标的名称：铜川市加油站油气回收在线监测系统及数据监管平台运行维护项目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79"/>
              <w:gridCol w:w="1586"/>
              <w:gridCol w:w="679"/>
            </w:tblGrid>
            <w:tr>
              <w:tc>
                <w:tcPr>
                  <w:tcW w:type="dxa" w:w="2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158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加油站名称</w:t>
                  </w:r>
                </w:p>
              </w:tc>
              <w:tc>
                <w:tcPr>
                  <w:tcW w:type="dxa" w:w="67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地址</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中国石化销售股份有限公司陕西铜川石油分公司利民加油站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新区坡头镇耀旬公路</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中国石化销售股份有限公司陕西铜川石油分公司保平加油站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新区东外环</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中国石化销售股份有限公司陕西铜川石油分公司鑫源加油站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上高埝村耀柳路边</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中国石化销售股份有限公司陕西铜川石油分公司前进加油站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九州东道与</w:t>
                  </w:r>
                  <w:r>
                    <w:rPr>
                      <w:rFonts w:ascii="仿宋_GB2312" w:hAnsi="仿宋_GB2312" w:cs="仿宋_GB2312" w:eastAsia="仿宋_GB2312"/>
                      <w:sz w:val="24"/>
                      <w:color w:val="000000"/>
                    </w:rPr>
                    <w:t>210 国道交叉口西北 50 米</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中国石化销售股份有限公司陕西铜川石油分公司赵家塬加油站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王家河街道办事处南雷村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中国石化销售股份有限公司陕西铜川石油分公司红土加油站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印台区红土镇西街</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中国石化销售股份有限公司陕西铜川石油分公司高楼河加油站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印台区高楼河乡李家河村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中国石化销售股份有限公司陕西铜川石油分公司公路加油站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印台区金锁纸坊</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中国石化销售股份有限公司陕西铜川石油分公司金锁加油站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印台区金锁关</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中国石化销售股份有限公司陕西铜川石油分公司全顺加油站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印台区柳湾村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中国石化销售股份有限公司陕西铜川石油分公司顺安加油站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耀州区关庄镇安王村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中国石化销售股份有限公司陕西铜川石油分公司诚信加油站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耀州区庙湾村西川运煤专线</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中国石化销售股份有限公司陕西铜川石油分公司广源加油站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耀州区秦岭公司</w:t>
                  </w:r>
                  <w:r>
                    <w:rPr>
                      <w:rFonts w:ascii="仿宋_GB2312" w:hAnsi="仿宋_GB2312" w:cs="仿宋_GB2312" w:eastAsia="仿宋_GB2312"/>
                      <w:sz w:val="24"/>
                      <w:color w:val="000000"/>
                    </w:rPr>
                    <w:t>5 号窑生产路</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中国石化销售股份有限公司陕西铜川石油分公司瑶曲加油站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耀州区瑶曲刘家河村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中国石化销售股份有限公司陕西铜川石油分公司城关加油站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耀州区咸榆路棉织厂对面</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中国石化销售股份有限公司陕西石油分公司万通加油站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耀州区孙源镇泥阳村</w:t>
                  </w:r>
                  <w:r>
                    <w:rPr>
                      <w:rFonts w:ascii="仿宋_GB2312" w:hAnsi="仿宋_GB2312" w:cs="仿宋_GB2312" w:eastAsia="仿宋_GB2312"/>
                      <w:sz w:val="24"/>
                      <w:color w:val="000000"/>
                    </w:rPr>
                    <w:t>210国道西侧</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中国石化销售股份有限公司陕西铜川石油分公司耀州加油站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耀州区城关镇南泉街</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中国石化销售股份有限公司陕西铜川石油分公司万能加油站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铜川市耀州区孙塬镇惠塬村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中国石化销售股份有限公司陕西铜川石油分公司黄洋界加油站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w:t>
                  </w:r>
                  <w:r>
                    <w:rPr>
                      <w:rFonts w:ascii="仿宋_GB2312" w:hAnsi="仿宋_GB2312" w:cs="仿宋_GB2312" w:eastAsia="仿宋_GB2312"/>
                      <w:sz w:val="24"/>
                      <w:color w:val="000000"/>
                    </w:rPr>
                    <w:t>210 国道铜耀交界处 93KM</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中国石化销售股份有限公司陕西铜川石油分公司顺利加油站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宜君县马坊镇</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中国石油天然气股份有限公司陕西铜川销售分公司长虹北路加油站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新区长虹北路与北环路交叉处</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中国石油天然气股份有限公司陕西铜川销售分公司长虹加油站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新区长虹南路</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中国石油天然气股份有限公司陕西铜川销售分公司东环加油站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新区正阳路东段</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中国石油天然气股份有限公司陕西铜川销售分公司石源加油站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坡头镇马关村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中国石油天然气股份有限公司陕西铜川销售分公司招商加油站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王益区川口</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中国石油天然气股份有限公司陕西铜川销售分公司王家河加油站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王家河南路</w:t>
                  </w:r>
                  <w:r>
                    <w:rPr>
                      <w:rFonts w:ascii="仿宋_GB2312" w:hAnsi="仿宋_GB2312" w:cs="仿宋_GB2312" w:eastAsia="仿宋_GB2312"/>
                      <w:sz w:val="24"/>
                      <w:color w:val="000000"/>
                    </w:rPr>
                    <w:t>16 号</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中国石油天然气股份有限公司陕西铜川销售分公司黄堡加油站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黄堡镇李家沟</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中石油陕西铜川销售分公司</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印台区柳湾村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中国石油天然气股份有限公司陕西铜川分公司周陵加油站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印台区周陵村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中国石油天然气股份有限公司陕西铜川销售分公司花园加油加气站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印台区金锁乡纸坊</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中国石油天然气股份有限公司陕西铜川销售分公司烈桥加油站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印台区金锁关镇烈桥村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中国石油天然气股份有限公司陕西铜川销售分公司铁王河加油站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印台区广阳镇铁王河村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中国石油天然气股份有限公司陕西铜川销售分公司尖山加油站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印台区陈炉镇育寨村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中国石油天然气股份有限公司陕西铜川销售分公司红土加油站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w:t>
                  </w:r>
                  <w:r>
                    <w:rPr>
                      <w:rFonts w:ascii="仿宋_GB2312" w:hAnsi="仿宋_GB2312" w:cs="仿宋_GB2312" w:eastAsia="仿宋_GB2312"/>
                      <w:sz w:val="24"/>
                      <w:color w:val="000000"/>
                    </w:rPr>
                    <w:t>305 省道 20公里处</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中国石油天然气股份有限公司陕西铜川销售分公司广阳加油站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印台区广阳镇西街</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中国石油天然气股份有限公司陕西铜川销售分公司铜川北服务区西加油站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印台区纸坊村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37</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中国石油天然气股份有限公司陕西铜川销售分公司铜川北服务区东加油站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铜川市印台区纸坊村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38</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中国石油天然气股份有限公司陕西铜川销售分公司南关加油站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印台区重兴北路</w:t>
                  </w:r>
                  <w:r>
                    <w:rPr>
                      <w:rFonts w:ascii="仿宋_GB2312" w:hAnsi="仿宋_GB2312" w:cs="仿宋_GB2312" w:eastAsia="仿宋_GB2312"/>
                      <w:sz w:val="24"/>
                      <w:color w:val="000000"/>
                    </w:rPr>
                    <w:t>84号</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39</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中国石油天然气股份有限公司陕西铜川销售分公司崾岘加油站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印台区金锁镇崾岘村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中国石油天然气股份有限公司陕西铜川销售分公司中原加油站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铜川市印台区前烈桥村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41</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中国石油天然气股份有限公司陕西铜川销售分公司柳湾加油站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印台区柳湾村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中国石油天然气股份有限公司陕西铜川销售分公司延安路加油站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印台区延安路</w:t>
                  </w:r>
                  <w:r>
                    <w:rPr>
                      <w:rFonts w:ascii="仿宋_GB2312" w:hAnsi="仿宋_GB2312" w:cs="仿宋_GB2312" w:eastAsia="仿宋_GB2312"/>
                      <w:sz w:val="24"/>
                      <w:color w:val="000000"/>
                    </w:rPr>
                    <w:t>59 号</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43</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中国石油天然气股份有限公司陕西铜川销售分公司照金加油站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耀州区照金镇</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44</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中国石油天然气股份有限公司铜川销售分公司小丘加油站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耀州区小丘镇小丘村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45</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中国石油天然气股份有限公司陕西铜川销售分公司瑶曲加油站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耀州区瑶曲镇瑶曲村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46</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（关庄镇）中国石油天然气股份有限公司陕西铜川销售分公司</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耀州区关庄镇</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47</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中国石油天然气股份有限公司陕西铜川销售分公司华强加油站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210 国道 82 公里处</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中国石油天然气股份有限公司陕西铜川销售分公司红土加油站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w:t>
                  </w:r>
                  <w:r>
                    <w:rPr>
                      <w:rFonts w:ascii="仿宋_GB2312" w:hAnsi="仿宋_GB2312" w:cs="仿宋_GB2312" w:eastAsia="仿宋_GB2312"/>
                      <w:sz w:val="24"/>
                      <w:color w:val="000000"/>
                    </w:rPr>
                    <w:t>305 省道 20公里处</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中国石油天然气股份有限公司陕西铜川销售分公司广阳加油站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印台区广阳镇西街</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中国石油天然气股份有限公司陕西铜川销售分公司铜川北服务区西加油站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印台区纸坊村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37</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中国石油天然气股份有限公司陕西铜川销售分公司铜川北服务区东加油站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印台区纸坊村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38</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中国石油天然气股份有限公司陕西铜川销售分公司南关加油站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印台区重兴北路</w:t>
                  </w:r>
                  <w:r>
                    <w:rPr>
                      <w:rFonts w:ascii="仿宋_GB2312" w:hAnsi="仿宋_GB2312" w:cs="仿宋_GB2312" w:eastAsia="仿宋_GB2312"/>
                      <w:sz w:val="24"/>
                      <w:color w:val="000000"/>
                    </w:rPr>
                    <w:t>84号</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39</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中国石油天然气股份有限公司陕西铜川销售分公司崾岘加油站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印台区金锁镇崾岘村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中国石油天然气股份有限公司陕西铜川销售分公司中原加油站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印台区前烈桥村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41</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中国石油天然气股份有限公司陕西铜川销售分公司柳湾加油站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印台区柳湾村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中国石油天然气股份有限公司陕西铜川销售分公司延安路加油站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印台区延安路</w:t>
                  </w:r>
                  <w:r>
                    <w:rPr>
                      <w:rFonts w:ascii="仿宋_GB2312" w:hAnsi="仿宋_GB2312" w:cs="仿宋_GB2312" w:eastAsia="仿宋_GB2312"/>
                      <w:sz w:val="24"/>
                      <w:color w:val="000000"/>
                    </w:rPr>
                    <w:t>59 号</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43</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中国石油天然气股份有限公司陕西铜川销售分公司照金加油站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耀州区照金镇</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44</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中国石油天然气股份有限公司铜川销售分公司小丘加油站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耀州区小丘镇小丘村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45</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中国石油天然气股份有限公司陕西铜川销售分公司瑶曲加油站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耀州区瑶曲镇瑶曲村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46</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（关庄镇）中国石油天然气股份有限公司陕西铜川销售分公司</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耀州区关庄镇</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47</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中国石油天然气股份有限公司陕西铜川销售分公司华强加油站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210 国道 82 公里处</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中国石油天然气股份有限公司陕西铜川销售分公司耀州北服务区加油站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耀州区延西高速耀州服务区</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49</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中国石油天然气股份有限公司陕西铜川销售分公司耀州服务区南加油站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耀州区延西高速耀州服务区南区</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中国石油天然气股份有限公司陕西铜川销售分公司董家河加油站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耀州区董家河镇</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51</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中国石油天然气股份有限公司陕西铜川销售分公司香山加油站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耀州区铁牛街北段</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52</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中国石油天然气股份有限公司陕西铜川销售分公司冯家桥加油站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耀州区孙源乡孝西村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53</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中国石油天然气股份有限公司陕西铜川销售分公司崔仙加油加气站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耀州区崔仙服务区</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54</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中国石油天然气股份有限公司陕西铜川销售分公司石柱加油站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耀州区石柱镇</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中国石油天然气股份有限公司陕西铜川销售分公司宜君服务区东加油站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宜君县城关镇秦家河村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56</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中国石油天然气股份有限公司陕西铜川销售分公司棋盘加油站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宜君县棋盘镇</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57</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中国石油天然气股份有限公司陕西铜川分公司联兴玉华加油站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宜君县太安镇马场村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58</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中国石油天然气股份有限公司陕西铜川销售分公司城关加油站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宜君县二马路</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59</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中国石油天然气股份有限公司陕西铜川销售分公司五里镇加油站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宜君县五里镇</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中国石油天然气股份有限公司陕西铜川销售分公司黄陵服务区东加油站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宜君县彭镇杜村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61</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中国石油天然气股份有限公司陕西铜川销售分公司黄陵服务区西加油站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宜君县彭镇杜村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62</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中国石油天然气股份有限公司陕西铜川销售分公司宜君服务区西加油站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宜君县城关镇秦家河村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63</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中国石油天然气股份有限公司陕西铜川销售分公司阳湾加油站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宜君县阳湾</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64</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中国石油天然气股份有限公司陕西铜川销售分公司偏桥加油站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宜君县偏桥</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中国石油天然气股份有限公司陕西铜川销售分公司顺达加油站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w:t>
                  </w:r>
                  <w:r>
                    <w:rPr>
                      <w:rFonts w:ascii="仿宋_GB2312" w:hAnsi="仿宋_GB2312" w:cs="仿宋_GB2312" w:eastAsia="仿宋_GB2312"/>
                      <w:sz w:val="24"/>
                      <w:color w:val="000000"/>
                    </w:rPr>
                    <w:t>210 国道148公里处</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66</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中国石油天然气股份有限公司陕西铜川销售分公司彭镇加油站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宜君县彭镇彭村包茂高速公路出口</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67</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中国石油天然气股份有限公司陕西铜川销售分公司马坊加油站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宜君县马坊村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68</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延长壳牌石油有限公司铜川东外环路加油站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新区崔上村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69</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延长壳牌石油有限公司王益川口加油站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王益区川口二十里铺</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延长壳牌石油有限公司铜川印台纸坊加油站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印台区金锁乡关镇纸坊村</w:t>
                  </w:r>
                  <w:r>
                    <w:rPr>
                      <w:rFonts w:ascii="仿宋_GB2312" w:hAnsi="仿宋_GB2312" w:cs="仿宋_GB2312" w:eastAsia="仿宋_GB2312"/>
                      <w:sz w:val="24"/>
                      <w:color w:val="000000"/>
                    </w:rPr>
                    <w:t>210国道K122处</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71</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延长壳牌石油有限公司铜川金锁关加油站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印台区金锁关马莲滩</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72</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延长壳牌石油有限公司铜川耀州药王路南加油站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耀州区七一路西段</w:t>
                  </w:r>
                  <w:r>
                    <w:rPr>
                      <w:rFonts w:ascii="仿宋_GB2312" w:hAnsi="仿宋_GB2312" w:cs="仿宋_GB2312" w:eastAsia="仿宋_GB2312"/>
                      <w:sz w:val="24"/>
                      <w:color w:val="000000"/>
                    </w:rPr>
                    <w:t>78 号</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73</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延长壳牌石油有限公司铜川董家河镇加油站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耀州区董家河镇王家砭村</w:t>
                  </w:r>
                  <w:r>
                    <w:rPr>
                      <w:rFonts w:ascii="仿宋_GB2312" w:hAnsi="仿宋_GB2312" w:cs="仿宋_GB2312" w:eastAsia="仿宋_GB2312"/>
                      <w:sz w:val="24"/>
                      <w:color w:val="000000"/>
                    </w:rPr>
                    <w:t>210 国道</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74</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延长壳牌石油有限公司铜川市孙塬加油站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耀州区孝西村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75</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陕西高速延长石油有限责任公司</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耀州区照金镇尖坪村铜旬高速公路</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76</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陕西高速延长石油有限责任公司玉华宫西服务区加油站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太安镇马场村西延高速公路玉华宫西服务区</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77</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陕西省高速延长石油有限责任公司玉华宫东服务区加油站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太安镇马场村西延高速公路玉华宫东服务区</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78</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陕西正奥能源有限公司铜川新区儒柳加油站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新区金泰路以南、东环路交叉口西路南</w:t>
                  </w:r>
                  <w:r>
                    <w:rPr>
                      <w:rFonts w:ascii="仿宋_GB2312" w:hAnsi="仿宋_GB2312" w:cs="仿宋_GB2312" w:eastAsia="仿宋_GB2312"/>
                      <w:sz w:val="24"/>
                      <w:color w:val="000000"/>
                    </w:rPr>
                    <w:t>100米</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79</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铜川市新区建新加油站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新区白家村十字</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80</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铜川市坡头镇花园加油站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坡头镇经八路与横十二路交汇东北处</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81</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印台区顺金路</w:t>
                  </w:r>
                  <w:r>
                    <w:rPr>
                      <w:rFonts w:ascii="仿宋_GB2312" w:hAnsi="仿宋_GB2312" w:cs="仿宋_GB2312" w:eastAsia="仿宋_GB2312"/>
                      <w:sz w:val="24"/>
                      <w:color w:val="000000"/>
                    </w:rPr>
                    <w:t>17 号</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82</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铜川市印台区永胜加油站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印台区金锁镇马莲滩组</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83</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铜川市印台区顺丰源商贸有限公司</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印台区阿庄镇下庄村河口段</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84</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铜川市公共交通有限责任公司开发分公司</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印台区顺金南路</w:t>
                  </w:r>
                  <w:r>
                    <w:rPr>
                      <w:rFonts w:ascii="仿宋_GB2312" w:hAnsi="仿宋_GB2312" w:cs="仿宋_GB2312" w:eastAsia="仿宋_GB2312"/>
                      <w:sz w:val="24"/>
                      <w:color w:val="000000"/>
                    </w:rPr>
                    <w:t>43号</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85</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铜川市印台区金华加油站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印台区红土镇金华山梁顶</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86</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中国石油天然气股份有限公司陕西铜川销售分公司</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印台区金锁南湾村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87</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铜川市耀州区金顺加油站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耀州区小丘镇</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88</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铜川市耀州区瑶曲永兴加油站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耀州区瑶曲镇聂河村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89</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铜川市耀州区瑶曲建国加油站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耀州区瑶曲镇</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90</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靖边县旭源能源有限公司演池油气合建站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耀州区演池高速公路出口处</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91</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铜川市耀州区陈家楼加油城</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耀州区柳林镇蔡河村陈家楼子</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92</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铜川市耀州区照金延煌石油加油站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耀州区照金镇</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93</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（柳林镇）中国石油天然气股份有限公司陕西铜川销售分公司</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耀州区柳林镇</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94</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铜川市耀州区经委加油站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耀州区泥阳路</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95</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铜川市耀州区药王山加油站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耀州区孙塬村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96</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宜君三农加油站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宜君县五里镇西村综合服务中心石堡塬（宜白公路</w:t>
                  </w:r>
                  <w:r>
                    <w:rPr>
                      <w:rFonts w:ascii="仿宋_GB2312" w:hAnsi="仿宋_GB2312" w:cs="仿宋_GB2312" w:eastAsia="仿宋_GB2312"/>
                      <w:sz w:val="24"/>
                      <w:color w:val="000000"/>
                    </w:rPr>
                    <w:t>35公里处）</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97</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平顺利加油站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宜君县宜阳北街</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98</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宜君县延煌加油站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宜君县宜阳街道办事处十里铺村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99</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宜君县宏鑫祥加油站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宜君县宜阳尧生镇雷塬村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100</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宜君县金雨加油站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宜君县彭镇湫沟村</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101</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宜君云梦加油站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宜君县云梦乡云梦街道</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102</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铜川市联兴加油站</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王益区陈李路与</w:t>
                  </w:r>
                  <w:r>
                    <w:rPr>
                      <w:rFonts w:ascii="仿宋_GB2312" w:hAnsi="仿宋_GB2312" w:cs="仿宋_GB2312" w:eastAsia="仿宋_GB2312"/>
                      <w:sz w:val="24"/>
                      <w:color w:val="000000"/>
                    </w:rPr>
                    <w:t>210国道交叉口北 150 米</w:t>
                  </w:r>
                </w:p>
              </w:tc>
            </w:tr>
            <w:tr>
              <w:tc>
                <w:tcPr>
                  <w:tcW w:type="dxa" w:w="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103</w:t>
                  </w:r>
                </w:p>
              </w:tc>
              <w:tc>
                <w:tcPr>
                  <w:tcW w:type="dxa" w:w="1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铜川丰大石油有限责任公司</w:t>
                  </w:r>
                </w:p>
              </w:tc>
              <w:tc>
                <w:tcPr>
                  <w:tcW w:type="dxa" w:w="6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王家河乡赵家塬</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运维服务6个月后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项目完成验收后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供应商提交的相关资格证明材料.docx 供应商应提交的相关资格证明材料 响应函 法定代表人身份证明和法定代表人授权委托书.docx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供应商提交的相关资格证明材料.docx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（1）、供应商具有独立承担民事责任能力的法人、其他组织或自然人，并出具合法有效的营业执照或事业单位法人证书等国家规定的相关证明，自然人参与的提供其身份证明； （2）、财务状况报告：提供2023年度或2024年度经审计的财务报告或磋商前六个月内其基本账户银行出具的资信证明或政府采购信用担保机构出具的磋商担保函； （3）、税收交纳证明：供应商提供截止至磋商时间前六个月内任意一个月的缴费凭据；（依法免税的供应商应提供相关文件证明）； （4）、社会保障资金交纳证明：供应商提供截止至磋商时间前六个月内任意一个月的社保缴费凭据或社保机构开具的社会保险参保缴费情况证明；（依法不需要交纳社会保障资金的供应商应提供相关证明）； （5）、供应商提供具有履行本合同所必需的设备和专业技术能力的说明及承诺； （6）、供应商提供参加政府采购活动前三年内在经营活动中没有重大违法记录的书面声明； （7）、供应商应授权合法的人员参加磋商全过程，其中法定代表直接参加磋商的，须出具身份证，并与营业执照上信息一致。授权代表参加磋商的，须出具法定代表人授权委托书及授权代表身份证； （8）、供应商不得为“信用中国(www.creditchina.gov.cn)”中列入失信被执行人名单的供应商，不得为“中国政府采购网(www.ccgp.gov.cn)”政府采购严重违法失信行为记录名单中被财政部门禁止参加政府采购活动的供应商； （9）、本项目不允许联合体磋商。（提供非联合体磋商承诺）</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磋商响应文件上要求签字和盖章的，签字盖章应齐全。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法定代表人身份证明和法定代表人授权委托书.docx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服务内容及服务邀请应答表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运行基本维护方案</w:t>
            </w:r>
          </w:p>
        </w:tc>
        <w:tc>
          <w:tcPr>
            <w:tcW w:type="dxa" w:w="2492"/>
          </w:tcPr>
          <w:p>
            <w:pPr>
              <w:pStyle w:val="null3"/>
            </w:pPr>
            <w:r>
              <w:rPr>
                <w:rFonts w:ascii="仿宋_GB2312" w:hAnsi="仿宋_GB2312" w:cs="仿宋_GB2312" w:eastAsia="仿宋_GB2312"/>
              </w:rPr>
              <w:t>针对本项目的采购要求，对供应商的维护方案是否合理科学，目的是否明确，执行标准、规范是否明确进行评审，根据其响应情况横向比较打分。维护方案合理科学，目的明确，执行标准、规范明确，充分满足磋商文件要求计(12-20分]；维护方案基本合理科学，目的基本明确，执行标准、规范基本明确，满足磋商文件要求的计(6-12分]；维护方案内容存在缺漏但不影响磋商响应文件有效性的计[0-6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对项目背景和需求的理解</w:t>
            </w:r>
          </w:p>
        </w:tc>
        <w:tc>
          <w:tcPr>
            <w:tcW w:type="dxa" w:w="2492"/>
          </w:tcPr>
          <w:p>
            <w:pPr>
              <w:pStyle w:val="null3"/>
            </w:pPr>
            <w:r>
              <w:rPr>
                <w:rFonts w:ascii="仿宋_GB2312" w:hAnsi="仿宋_GB2312" w:cs="仿宋_GB2312" w:eastAsia="仿宋_GB2312"/>
              </w:rPr>
              <w:t>根据供应商提供的针对项目背景、项目实施情况了解，项目任务目标及需求理解深刻，项目现状和项目整体认知、思路清晰明确，按其响应程度横向比较打分。 供应商对项目的背景和需求具有深刻的理解，对项目服务目标和服务内容进行完整、合理的阐述计(4-7.5分]，供应商对项目工作需求的理解基本准确到位；满足采购人基本服务要求计(2.5-4分]；供应商对于本项目的理解较差，不能完全满足采购人实际需求计[0-2.5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完全承诺磋商文件和合同条款的要求，并针对本项目实际需求提供实质性承诺（包括维修服务、应急响应及应急处理服务、服务响应方式），服务内容完善，根据响应程度得 0～7.5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结合本项目实际情况，磋商报价人应建立完善的服务规章制度、奖惩措施、人员管理方法等，按其响应程度横向比较。 磋商报价人有完善的服务规章制度、明确的项目管理职责与分工、可操作性强的奖惩措施，能有效地保证服务质量，确保服务人员按时按量完成服务工作计(10-15 分]； 磋商报价人有基本能满足采购人需求，日常管理制度完善、程序规范，管理措施及奖惩措施较为合理计(5-10分]；磋商报价人所提供的服务规章制度、奖惩措施不尽完善、不能完全满足采购人实际应用需求计[1-5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组织机构设置和岗位职责</w:t>
            </w:r>
          </w:p>
        </w:tc>
        <w:tc>
          <w:tcPr>
            <w:tcW w:type="dxa" w:w="2492"/>
          </w:tcPr>
          <w:p>
            <w:pPr>
              <w:pStyle w:val="null3"/>
            </w:pPr>
            <w:r>
              <w:rPr>
                <w:rFonts w:ascii="仿宋_GB2312" w:hAnsi="仿宋_GB2312" w:cs="仿宋_GB2312" w:eastAsia="仿宋_GB2312"/>
              </w:rPr>
              <w:t>根据供应商提供的企业管理组织架构、人员分工和工作职责划分、业务管理流程进行横向比较，综合赋分。有具体成员名单，包括姓名、执业资格证书、工作经验、工作职责、联系方式等）企业组织架构完善、人员分工和工作职责划分明确、业务管理流程详尽、完整的计(8-12 分]；企业组织架构清晰、人员分工和工作职责划分比较明确、业务管理流程基本完整的计(4-8 分]；企业组织架构、人员分工和工作职责划分、业务管理流程存在缺漏的计[0-4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工作重点、难点分析及合理化建议</w:t>
            </w:r>
          </w:p>
        </w:tc>
        <w:tc>
          <w:tcPr>
            <w:tcW w:type="dxa" w:w="2492"/>
          </w:tcPr>
          <w:p>
            <w:pPr>
              <w:pStyle w:val="null3"/>
            </w:pPr>
            <w:r>
              <w:rPr>
                <w:rFonts w:ascii="仿宋_GB2312" w:hAnsi="仿宋_GB2312" w:cs="仿宋_GB2312" w:eastAsia="仿宋_GB2312"/>
              </w:rPr>
              <w:t>根据供应商提供的针对本项目的合理化建议进行评审，对项目实施过程中的关键性工作，重点、难点工作等可能影响项目实施进度的情况提出的合理化建议及解决方案，按其响应程度横向比较。对关键性工作，重点、难点工作认识清晰准确、提出的合理化建议及解决方案内容完善、详细，可行性高的计(5-8 分]；对关键性工作，重点、难点工作认识准确、提出的合理化建议及解决方案内容基本完整、可行的计(2-5 分]； 对关键性工作，重点、难点工作认识不清、提出的合理化建议及解决方案内容存在缺漏的计[0-2分]。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服务期内的质量保证措施</w:t>
            </w:r>
          </w:p>
        </w:tc>
        <w:tc>
          <w:tcPr>
            <w:tcW w:type="dxa" w:w="2492"/>
          </w:tcPr>
          <w:p>
            <w:pPr>
              <w:pStyle w:val="null3"/>
            </w:pPr>
            <w:r>
              <w:rPr>
                <w:rFonts w:ascii="仿宋_GB2312" w:hAnsi="仿宋_GB2312" w:cs="仿宋_GB2312" w:eastAsia="仿宋_GB2312"/>
              </w:rPr>
              <w:t>根据磋商报价人对本项目质量保证措施方案的响应程度横向比较打分。有具体可行的质量保证措施，方案具体、完整、可操作性强计(6-10 分]；方案较完整，质量保证措施内容明确，可基本保证质量保证需求计(2-6分]；方案有明显缺漏项，不能完全保证服务期内质量保证需求，可操作性较差计[0-2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 2022 年5 月 1 日至今类似业绩，投标文件中附有其业绩证明材料，业绩以合同文件为依据（复印件加盖公章），每提供一份计2.5 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满足竞争性磋商文件要求且评审报价最低的报价为评标基准价，其价格分为满分。其他供应商的价格分统一按照下列公式计算： 磋商报价得分=（评标基准价/磋商报价）×价格权值。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详见附件：法定代表人身份证明和法定代表人授权委托书.docx</w:t>
      </w:r>
    </w:p>
    <w:p>
      <w:pPr>
        <w:pStyle w:val="null3"/>
        <w:ind w:firstLine="960"/>
      </w:pPr>
      <w:r>
        <w:rPr>
          <w:rFonts w:ascii="仿宋_GB2312" w:hAnsi="仿宋_GB2312" w:cs="仿宋_GB2312" w:eastAsia="仿宋_GB2312"/>
        </w:rPr>
        <w:t>详见附件：供应商提交的相关资格证明材料.docx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详见附件：铜川市加油站油气回收在线监测系统及监管平台运行维护项目合同.docx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