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版本号：SYTH-ZFCG-2025-03420250630001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铜川市2024年度黑鹳等国家重点保护野生动植物生境保护与恢复项目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SYTH-ZFCG-2025-034</w:t>
      </w:r>
      <w:r>
        <w:br/>
      </w:r>
      <w:r>
        <w:br/>
      </w:r>
      <w:r>
        <w:br/>
      </w:r>
    </w:p>
    <w:p>
      <w:pPr>
        <w:pStyle w:val="null3"/>
        <w:jc w:val="center"/>
        <w:outlineLvl w:val="2"/>
      </w:pPr>
      <w:r>
        <w:rPr>
          <w:rFonts w:ascii="仿宋_GB2312" w:hAnsi="仿宋_GB2312" w:cs="仿宋_GB2312" w:eastAsia="仿宋_GB2312"/>
          <w:sz w:val="28"/>
          <w:b/>
        </w:rPr>
        <w:t>铜川市野生动植物保护管理工作站</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铜川市野生动植物保护管理工作站</w:t>
      </w:r>
      <w:r>
        <w:rPr>
          <w:rFonts w:ascii="仿宋_GB2312" w:hAnsi="仿宋_GB2312" w:cs="仿宋_GB2312" w:eastAsia="仿宋_GB2312"/>
        </w:rPr>
        <w:t>委托，拟对</w:t>
      </w:r>
      <w:r>
        <w:rPr>
          <w:rFonts w:ascii="仿宋_GB2312" w:hAnsi="仿宋_GB2312" w:cs="仿宋_GB2312" w:eastAsia="仿宋_GB2312"/>
        </w:rPr>
        <w:t>铜川市2024年度黑鹳等国家重点保护野生动植物生境保护与恢复项目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铜川市2024年度黑鹳等国家重点保护野生动植物生境保护与恢复项目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拆除及新建围墙，设置台阶及场地绿化等。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采购包1（铜川市2024年度黑鹳等国家重点保护野生动植物生境保护与恢复项目）：属于专门面向小微企业采购。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磋商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税收的良好记录：提供磋商截止日前近六个月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7、法定代表人证明书及授权委托书：法定代表人参加磋商的，须提供法定代表人证明书及本人身份证复印件并出示身份证原件；法定代表人授权他人参加磋商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8、非联合体磋商：提供非联合体磋商声明；供应商需在项目电子化交易系统中按要求上传相应证明文件并进行电子签章。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铜川市野生动植物保护管理工作站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铜川市新区朝阳路铜川政务0217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铜川市野生动植物保护管理工作站经办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15929694704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13571408063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铜川市野生动植物保护管理工作站</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铜川市野生动植物保护管理工作站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铜川市野生动植物保护管理工作站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联系人：崔宇洁</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铜川市2024年度黑鹳等国家重点保护野生动植物生境保护与恢复项目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标的名称：铜川市2024年度黑鹳等国家重点保护野生动植物生境保护与恢复项目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333333"/>
              </w:rPr>
              <w:t>1.东侧区域设计内容：东侧地块紧邻现朱鹮、黑鹳等养殖基地，我们以现有基地为基础，结合现场实际场地高程和植物生长情况，提出以下设计内容：</w:t>
            </w:r>
          </w:p>
          <w:p>
            <w:pPr>
              <w:pStyle w:val="null3"/>
              <w:jc w:val="left"/>
            </w:pPr>
            <w:r>
              <w:rPr>
                <w:rFonts w:ascii="仿宋_GB2312" w:hAnsi="仿宋_GB2312" w:cs="仿宋_GB2312" w:eastAsia="仿宋_GB2312"/>
                <w:sz w:val="21"/>
                <w:color w:val="333333"/>
              </w:rPr>
              <w:t>1）移除低洼区域的柳树林带，在该区域结合现场条件形成30cm深水系，水系内铺设砂石土，寄生朱鹮、黑鹳等可食用的生物群，增加鸟类的活动、觅食的水系区域。水系周围堆土形成土坡驳岸与现状绿化衔接。2）拆除现有围墙后，在其外侧（南侧），构建新的围墙，形成较为封闭的朱鹮、黑鹳等栖息环境。3）在园路与干道相接区域，结合现场高程，设置台阶。4）在移除柳树后的空地区域，补充种植观赏性强的植物以及利于鸟类驻足的乔木，与现状保留植物相结合，完善该区域的绿化种植。5）补充现有行道树的中下层空间，增加观花小乔木的种植。2.西侧区域设计内容：西侧区域较为空旷，可利用性较强，同样我们以扩大朱鹮、黑鹳等栖息地为目标，将此地块进行利用，具体设计内容有：1）根据现场情况，设计水系及地形（小岛）满足鸟类的栖息要求，岛上种植乔木。在地形坡脚外侧3m范围内，形成20-30cm的水系。同样水中铺设20cm的砂石土，寄生泥鳅、鱼等适合朱鹮、黑鹳等食用的生物。2）结合行道树栽植区的绿化高程，利用形成水系时挖出的土方，将绿化地与道路边缘做缓坡处理，以利于植物种植。3）在其他空地区域堆砌绿化微地形，形成丰富的植物空间基础。</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磋商担保函；（提供复印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六个月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法定代表人证明书及授权委托书</w:t>
            </w:r>
          </w:p>
        </w:tc>
        <w:tc>
          <w:tcPr>
            <w:tcW w:type="dxa" w:w="3322"/>
          </w:tcPr>
          <w:p>
            <w:pPr>
              <w:pStyle w:val="null3"/>
            </w:pPr>
            <w:r>
              <w:rPr>
                <w:rFonts w:ascii="仿宋_GB2312" w:hAnsi="仿宋_GB2312" w:cs="仿宋_GB2312" w:eastAsia="仿宋_GB2312"/>
              </w:rPr>
              <w:t>法定代表人参加磋商的，须提供法定代表人证明书及本人身份证复印件并出示身份证原件；法定代表人授权他人参加磋商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A、供应商的磋商报价有选择性报价或者磋商报价重新计算后超过本项目采购预算或者最高限价的；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经过有效性和符合性审核合格的供应商，其商务条款响应符合磋商文件最低要求的计7分。优于磋商文件要求的每项另加1分，最多加3分。不完全响应的计0分。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提供类似项目业绩（提供中标通知书或合同复印件加盖公章）。每份计5分，计满10分为止。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1、本项目所涉及的所有施工内容及技术措施应全面、详细（得8-14分） 2、施工方案主要部分施工内容有缺项、不全面的（得1-7分） 3、未提供施工方案的（得0分）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工程质量措施</w:t>
            </w:r>
          </w:p>
        </w:tc>
        <w:tc>
          <w:tcPr>
            <w:tcW w:type="dxa" w:w="2492"/>
          </w:tcPr>
          <w:p>
            <w:pPr>
              <w:pStyle w:val="null3"/>
            </w:pPr>
            <w:r>
              <w:rPr>
                <w:rFonts w:ascii="仿宋_GB2312" w:hAnsi="仿宋_GB2312" w:cs="仿宋_GB2312" w:eastAsia="仿宋_GB2312"/>
              </w:rPr>
              <w:t>1、施工项目应有专门的质量技术管理机构和制度，且制度健全具有的质量管理体系；主要工序有质量技术保证措施和手段，能有效保证技术质量，承诺的质量标准达到采购要求。（得6-9分） 2、有工程质量保证措施，但有明显缺陷或缺项（得1-5分） 3、无工程质量安全措施（得0分）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1、施工项目有专门的安全管理人员和制度，且制度健全；各道工序安全技术措施针对性强，符合实际且满足有关安全技术标准要求；现场防火、安全防护措施得力。（得6-9分） 2、有安全生产措施，但有明显缺陷或缺项（得1-5分） 3、无安全生产的技术组织措施（得0分）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工期措施</w:t>
            </w:r>
          </w:p>
        </w:tc>
        <w:tc>
          <w:tcPr>
            <w:tcW w:type="dxa" w:w="2492"/>
          </w:tcPr>
          <w:p>
            <w:pPr>
              <w:pStyle w:val="null3"/>
            </w:pPr>
            <w:r>
              <w:rPr>
                <w:rFonts w:ascii="仿宋_GB2312" w:hAnsi="仿宋_GB2312" w:cs="仿宋_GB2312" w:eastAsia="仿宋_GB2312"/>
              </w:rPr>
              <w:t>1、在施工工艺、施工方法、材料选用、劳动力安排、机械设备、技术等方面有保证工期或提前竣工的具体措施且措施得当；有控制工期的施工进度计划（得6-9分） 2、有工期措施，但有明显缺陷或缺项（得1-5分） 3、无确保工期的技术组织措施（得0分）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1、针对本工程项目特点，应有文明施工计划及措施，环境保环境保护措施，且计划措施内容达到“安全文明示范工地”标准；各项措施周全、具体、有效；提供针对本项目编制垃圾清运现场环保措施、运输保证措施。（得6-9分） 2、内容不全面，有明显缺陷或缺项（得1-5分） 3、无文明施工技术组织及环境保护措施（得0分）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磋商报价：以最终报价为准，并计算。 计算方式：统一采用低价优先法计算，即满足磋商文件要求且最后报价最低的供应商的价格为磋商基准价，其价格分为满分。其他供应商的价格分统一按照下列公式计算： 磋商报价得分=（磋商基准价÷最终磋商报价）×价格权值×100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详见附件：法定代表人证明书及法定代表人授权委托书.docx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