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A1F5A">
      <w:pPr>
        <w:spacing w:before="62" w:line="220" w:lineRule="auto"/>
        <w:ind w:left="2893"/>
        <w:rPr>
          <w:rFonts w:ascii="宋体" w:hAnsi="宋体" w:eastAsia="宋体" w:cs="宋体"/>
          <w:spacing w:val="7"/>
          <w:sz w:val="31"/>
          <w:szCs w:val="31"/>
          <w:highlight w:val="none"/>
          <w:lang w:eastAsia="zh-CN"/>
        </w:rPr>
      </w:pPr>
      <w:bookmarkStart w:id="10" w:name="_GoBack"/>
      <w:r>
        <w:rPr>
          <w:rFonts w:ascii="宋体" w:hAnsi="宋体" w:eastAsia="宋体" w:cs="宋体"/>
          <w:spacing w:val="7"/>
          <w:sz w:val="31"/>
          <w:szCs w:val="31"/>
          <w:highlight w:val="none"/>
          <w:lang w:eastAsia="zh-CN"/>
        </w:rPr>
        <w:t>拟签订采购合同文本</w:t>
      </w:r>
    </w:p>
    <w:p w14:paraId="749A8215">
      <w:pPr>
        <w:tabs>
          <w:tab w:val="left" w:pos="735"/>
        </w:tabs>
        <w:spacing w:before="312" w:beforeLines="100" w:line="360" w:lineRule="auto"/>
        <w:ind w:firstLine="629"/>
        <w:rPr>
          <w:rFonts w:asciiTheme="minorEastAsia" w:hAnsiTheme="minorEastAsia"/>
          <w:b/>
          <w:bCs/>
          <w:sz w:val="20"/>
          <w:szCs w:val="20"/>
          <w:highlight w:val="none"/>
          <w:lang w:val="zh-CN" w:eastAsia="zh-CN"/>
        </w:rPr>
      </w:pPr>
      <w:r>
        <w:rPr>
          <w:rFonts w:hint="eastAsia" w:asciiTheme="minorEastAsia" w:hAnsiTheme="minorEastAsia"/>
          <w:b/>
          <w:bCs/>
          <w:sz w:val="20"/>
          <w:szCs w:val="20"/>
          <w:highlight w:val="none"/>
          <w:lang w:val="zh-CN" w:eastAsia="zh-CN"/>
        </w:rPr>
        <w:t>甲方：</w:t>
      </w:r>
      <w:r>
        <w:rPr>
          <w:rFonts w:hint="eastAsia" w:asciiTheme="minorEastAsia" w:hAnsiTheme="minorEastAsia"/>
          <w:bCs/>
          <w:sz w:val="20"/>
          <w:szCs w:val="20"/>
          <w:highlight w:val="none"/>
          <w:lang w:val="zh-CN" w:eastAsia="zh-CN"/>
        </w:rPr>
        <w:t>（前款所称采购人）     住所：</w:t>
      </w:r>
    </w:p>
    <w:p w14:paraId="156DC174">
      <w:pPr>
        <w:tabs>
          <w:tab w:val="left" w:pos="735"/>
        </w:tabs>
        <w:spacing w:line="360" w:lineRule="auto"/>
        <w:ind w:firstLine="631"/>
        <w:rPr>
          <w:rFonts w:asciiTheme="minorEastAsia" w:hAnsiTheme="minorEastAsia"/>
          <w:bCs/>
          <w:sz w:val="20"/>
          <w:szCs w:val="20"/>
          <w:highlight w:val="none"/>
          <w:lang w:val="zh-CN" w:eastAsia="zh-CN"/>
        </w:rPr>
      </w:pPr>
      <w:r>
        <w:rPr>
          <w:rFonts w:hint="eastAsia" w:asciiTheme="minorEastAsia" w:hAnsiTheme="minorEastAsia"/>
          <w:b/>
          <w:bCs/>
          <w:sz w:val="20"/>
          <w:szCs w:val="20"/>
          <w:highlight w:val="none"/>
          <w:lang w:val="zh-CN" w:eastAsia="zh-CN"/>
        </w:rPr>
        <w:t>乙方：</w:t>
      </w:r>
      <w:r>
        <w:rPr>
          <w:rFonts w:hint="eastAsia" w:asciiTheme="minorEastAsia" w:hAnsiTheme="minorEastAsia"/>
          <w:bCs/>
          <w:sz w:val="20"/>
          <w:szCs w:val="20"/>
          <w:highlight w:val="none"/>
          <w:lang w:val="zh-CN" w:eastAsia="zh-CN"/>
        </w:rPr>
        <w:t>（前款所称成交人）     住所：</w:t>
      </w:r>
    </w:p>
    <w:p w14:paraId="48A9754B">
      <w:pPr>
        <w:numPr>
          <w:ilvl w:val="0"/>
          <w:numId w:val="1"/>
        </w:numPr>
        <w:spacing w:line="360" w:lineRule="auto"/>
        <w:ind w:firstLine="400" w:firstLineChars="200"/>
        <w:rPr>
          <w:rFonts w:hint="eastAsia" w:asciiTheme="minorEastAsia" w:hAnsiTheme="minorEastAsia"/>
          <w:sz w:val="20"/>
          <w:szCs w:val="20"/>
          <w:highlight w:val="none"/>
          <w:lang w:eastAsia="zh-CN"/>
        </w:rPr>
      </w:pPr>
      <w:bookmarkStart w:id="0" w:name="_Toc19515384"/>
      <w:r>
        <w:rPr>
          <w:rFonts w:hint="eastAsia" w:asciiTheme="minorEastAsia" w:hAnsiTheme="minorEastAsia"/>
          <w:sz w:val="20"/>
          <w:szCs w:val="20"/>
          <w:highlight w:val="none"/>
          <w:lang w:eastAsia="zh-CN"/>
        </w:rPr>
        <w:t>合同内容:</w:t>
      </w:r>
      <w:bookmarkEnd w:id="0"/>
    </w:p>
    <w:p w14:paraId="4949EE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textAlignment w:val="auto"/>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eastAsia="zh-CN"/>
        </w:rPr>
        <w:t>1、</w:t>
      </w:r>
      <w:r>
        <w:rPr>
          <w:rFonts w:hint="eastAsia" w:asciiTheme="minorEastAsia" w:hAnsiTheme="minorEastAsia"/>
          <w:sz w:val="20"/>
          <w:szCs w:val="20"/>
          <w:highlight w:val="none"/>
          <w:lang w:val="en-US" w:eastAsia="zh-CN"/>
        </w:rPr>
        <w:t>乙方</w:t>
      </w:r>
      <w:r>
        <w:rPr>
          <w:rFonts w:hint="eastAsia" w:asciiTheme="minorEastAsia" w:hAnsiTheme="minorEastAsia"/>
          <w:sz w:val="20"/>
          <w:szCs w:val="20"/>
          <w:highlight w:val="none"/>
          <w:lang w:eastAsia="zh-CN"/>
        </w:rPr>
        <w:t>负责组织参展企业人员有关商务礼仪、出境纪律等方面内容的会前培训，负责组织企业人员按时参加会议，并协助企业完成会期服务，</w:t>
      </w:r>
      <w:r>
        <w:rPr>
          <w:rFonts w:hint="eastAsia" w:asciiTheme="minorEastAsia" w:hAnsiTheme="minorEastAsia"/>
          <w:sz w:val="20"/>
          <w:szCs w:val="20"/>
          <w:highlight w:val="none"/>
          <w:lang w:val="en-US" w:eastAsia="zh-CN"/>
        </w:rPr>
        <w:t>乙方</w:t>
      </w:r>
      <w:r>
        <w:rPr>
          <w:rFonts w:hint="eastAsia" w:asciiTheme="minorEastAsia" w:hAnsiTheme="minorEastAsia"/>
          <w:sz w:val="20"/>
          <w:szCs w:val="20"/>
          <w:highlight w:val="none"/>
          <w:lang w:eastAsia="zh-CN"/>
        </w:rPr>
        <w:t>必须不少于1人全程参与会</w:t>
      </w:r>
      <w:r>
        <w:rPr>
          <w:rFonts w:hint="eastAsia" w:asciiTheme="minorEastAsia" w:hAnsiTheme="minorEastAsia"/>
          <w:sz w:val="20"/>
          <w:szCs w:val="20"/>
          <w:highlight w:val="none"/>
          <w:lang w:eastAsia="zh-CN"/>
        </w:rPr>
        <w:t>议的组织（</w:t>
      </w:r>
      <w:r>
        <w:rPr>
          <w:rFonts w:hint="eastAsia" w:asciiTheme="minorEastAsia" w:hAnsiTheme="minorEastAsia"/>
          <w:sz w:val="20"/>
          <w:szCs w:val="20"/>
          <w:highlight w:val="none"/>
          <w:lang w:val="en-US" w:eastAsia="zh-CN"/>
        </w:rPr>
        <w:t>乙方</w:t>
      </w:r>
      <w:r>
        <w:rPr>
          <w:rFonts w:hint="eastAsia" w:asciiTheme="minorEastAsia" w:hAnsiTheme="minorEastAsia"/>
          <w:sz w:val="20"/>
          <w:szCs w:val="20"/>
          <w:highlight w:val="none"/>
          <w:lang w:eastAsia="zh-CN"/>
        </w:rPr>
        <w:t>拟随行人员负责代理代表团赴日本、韩国两国机票和住宿等费用并负责代表团赴日本、韩国全程地接；包括：用餐、住宿、交通、策划执行、座谈服务等相关工作）；</w:t>
      </w:r>
    </w:p>
    <w:p w14:paraId="2E8FDE87">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2、</w:t>
      </w:r>
      <w:r>
        <w:rPr>
          <w:rFonts w:hint="eastAsia" w:asciiTheme="minorEastAsia" w:hAnsiTheme="minorEastAsia"/>
          <w:sz w:val="20"/>
          <w:szCs w:val="20"/>
          <w:highlight w:val="none"/>
          <w:lang w:val="en-US" w:eastAsia="zh-CN"/>
        </w:rPr>
        <w:t>乙方负责</w:t>
      </w:r>
      <w:r>
        <w:rPr>
          <w:rFonts w:hint="eastAsia" w:asciiTheme="minorEastAsia" w:hAnsiTheme="minorEastAsia"/>
          <w:sz w:val="20"/>
          <w:szCs w:val="20"/>
          <w:highlight w:val="none"/>
          <w:lang w:eastAsia="zh-CN"/>
        </w:rPr>
        <w:t>会议与组织方保持沟通为会议活动遇到的问题（包括翻译，但不限于紧急情况的处置等）；</w:t>
      </w:r>
    </w:p>
    <w:p w14:paraId="31E38FAB">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3、</w:t>
      </w:r>
      <w:r>
        <w:rPr>
          <w:rFonts w:hint="eastAsia" w:asciiTheme="minorEastAsia" w:hAnsiTheme="minorEastAsia"/>
          <w:sz w:val="20"/>
          <w:szCs w:val="20"/>
          <w:highlight w:val="none"/>
          <w:lang w:val="en-US" w:eastAsia="zh-CN"/>
        </w:rPr>
        <w:t>乙方</w:t>
      </w:r>
      <w:r>
        <w:rPr>
          <w:rFonts w:hint="eastAsia" w:asciiTheme="minorEastAsia" w:hAnsiTheme="minorEastAsia"/>
          <w:sz w:val="20"/>
          <w:szCs w:val="20"/>
          <w:highlight w:val="none"/>
          <w:lang w:eastAsia="zh-CN"/>
        </w:rPr>
        <w:t>负责参会议人员在境外期间的安全工作；</w:t>
      </w:r>
    </w:p>
    <w:p w14:paraId="7531E46A">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4、</w:t>
      </w:r>
      <w:r>
        <w:rPr>
          <w:rFonts w:hint="eastAsia" w:asciiTheme="minorEastAsia" w:hAnsiTheme="minorEastAsia"/>
          <w:sz w:val="20"/>
          <w:szCs w:val="20"/>
          <w:highlight w:val="none"/>
          <w:lang w:val="en-US" w:eastAsia="zh-CN"/>
        </w:rPr>
        <w:t>乙方</w:t>
      </w:r>
      <w:r>
        <w:rPr>
          <w:rFonts w:hint="eastAsia" w:asciiTheme="minorEastAsia" w:hAnsiTheme="minorEastAsia"/>
          <w:sz w:val="20"/>
          <w:szCs w:val="20"/>
          <w:highlight w:val="none"/>
          <w:lang w:eastAsia="zh-CN"/>
        </w:rPr>
        <w:t>负责活动期间宣传铜川非遗交化，包含但不限于准备物料等宣传准备及其他服务。</w:t>
      </w:r>
    </w:p>
    <w:p w14:paraId="334FEF87">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5、</w:t>
      </w:r>
      <w:r>
        <w:rPr>
          <w:rFonts w:hint="eastAsia" w:asciiTheme="minorEastAsia" w:hAnsiTheme="minorEastAsia"/>
          <w:sz w:val="20"/>
          <w:szCs w:val="20"/>
          <w:highlight w:val="none"/>
          <w:lang w:val="en-US" w:eastAsia="zh-CN"/>
        </w:rPr>
        <w:t>乙方</w:t>
      </w:r>
      <w:r>
        <w:rPr>
          <w:rFonts w:hint="eastAsia" w:asciiTheme="minorEastAsia" w:hAnsiTheme="minorEastAsia"/>
          <w:sz w:val="20"/>
          <w:szCs w:val="20"/>
          <w:highlight w:val="none"/>
          <w:lang w:eastAsia="zh-CN"/>
        </w:rPr>
        <w:t>负责在活动结束后30日内，将会议执行情况、会议相关数据、会议总结等上报甲方，并按照甲方要求提交经费核销相关资料；</w:t>
      </w:r>
    </w:p>
    <w:p w14:paraId="5571D1E6">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6、</w:t>
      </w:r>
      <w:r>
        <w:rPr>
          <w:rFonts w:hint="eastAsia" w:asciiTheme="minorEastAsia" w:hAnsiTheme="minorEastAsia"/>
          <w:sz w:val="20"/>
          <w:szCs w:val="20"/>
          <w:highlight w:val="none"/>
          <w:lang w:val="en-US" w:eastAsia="zh-CN"/>
        </w:rPr>
        <w:t>乙方</w:t>
      </w:r>
      <w:r>
        <w:rPr>
          <w:rFonts w:hint="eastAsia" w:asciiTheme="minorEastAsia" w:hAnsiTheme="minorEastAsia"/>
          <w:sz w:val="20"/>
          <w:szCs w:val="20"/>
          <w:highlight w:val="none"/>
          <w:lang w:eastAsia="zh-CN"/>
        </w:rPr>
        <w:t>负责做好组织开展经贸活动的配合工作，负责有关经贸活动的场地费用、设备租赁、邀请嘉宾等，包括团组出访资料制作，团组行程安排，拜访活动安排，等领域的对接洽谈和座谈交流活动。</w:t>
      </w:r>
    </w:p>
    <w:p w14:paraId="2325902C">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7、</w:t>
      </w:r>
      <w:r>
        <w:rPr>
          <w:rFonts w:hint="eastAsia" w:asciiTheme="minorEastAsia" w:hAnsiTheme="minorEastAsia"/>
          <w:sz w:val="20"/>
          <w:szCs w:val="20"/>
          <w:highlight w:val="none"/>
          <w:lang w:val="en-US" w:eastAsia="zh-CN"/>
        </w:rPr>
        <w:t>乙方</w:t>
      </w:r>
      <w:r>
        <w:rPr>
          <w:rFonts w:hint="eastAsia" w:asciiTheme="minorEastAsia" w:hAnsiTheme="minorEastAsia"/>
          <w:sz w:val="20"/>
          <w:szCs w:val="20"/>
          <w:highlight w:val="none"/>
          <w:lang w:eastAsia="zh-CN"/>
        </w:rPr>
        <w:t>需要积极配合、执行、协调各项约定的工作，及时与甲方进行反馈对接，做好各项保障工作。</w:t>
      </w:r>
    </w:p>
    <w:p w14:paraId="1CDA9A9D">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8、其他活动举办过程中应由</w:t>
      </w:r>
      <w:r>
        <w:rPr>
          <w:rFonts w:hint="eastAsia" w:asciiTheme="minorEastAsia" w:hAnsiTheme="minorEastAsia"/>
          <w:sz w:val="20"/>
          <w:szCs w:val="20"/>
          <w:highlight w:val="none"/>
          <w:lang w:val="en-US" w:eastAsia="zh-CN"/>
        </w:rPr>
        <w:t>乙方</w:t>
      </w:r>
      <w:r>
        <w:rPr>
          <w:rFonts w:hint="eastAsia" w:asciiTheme="minorEastAsia" w:hAnsiTheme="minorEastAsia"/>
          <w:sz w:val="20"/>
          <w:szCs w:val="20"/>
          <w:highlight w:val="none"/>
          <w:lang w:eastAsia="zh-CN"/>
        </w:rPr>
        <w:t>完成的工作（具体以采购人在活动过程中具体委托事项为准）</w:t>
      </w:r>
    </w:p>
    <w:p w14:paraId="2DA46B64">
      <w:pPr>
        <w:spacing w:line="360" w:lineRule="auto"/>
        <w:ind w:firstLine="400" w:firstLineChars="200"/>
        <w:rPr>
          <w:rFonts w:asciiTheme="minorEastAsia" w:hAnsiTheme="minorEastAsia"/>
          <w:sz w:val="20"/>
          <w:szCs w:val="20"/>
          <w:highlight w:val="none"/>
          <w:lang w:eastAsia="zh-CN"/>
        </w:rPr>
      </w:pPr>
      <w:bookmarkStart w:id="1" w:name="_Toc19515385"/>
      <w:r>
        <w:rPr>
          <w:rFonts w:hint="eastAsia" w:asciiTheme="minorEastAsia" w:hAnsiTheme="minorEastAsia"/>
          <w:sz w:val="20"/>
          <w:szCs w:val="20"/>
          <w:highlight w:val="none"/>
          <w:lang w:eastAsia="zh-CN"/>
        </w:rPr>
        <w:t>二、合同价款</w:t>
      </w:r>
      <w:bookmarkEnd w:id="1"/>
    </w:p>
    <w:p w14:paraId="0BF5D432">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1、合同总价：</w:t>
      </w:r>
    </w:p>
    <w:p w14:paraId="14F01055">
      <w:pPr>
        <w:spacing w:line="360" w:lineRule="auto"/>
        <w:ind w:firstLine="400" w:firstLineChars="2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eastAsia="zh-CN"/>
        </w:rPr>
        <w:t>2、合同总价包括：</w:t>
      </w:r>
      <w:r>
        <w:rPr>
          <w:rFonts w:hint="eastAsia" w:asciiTheme="minorEastAsia" w:hAnsiTheme="minorEastAsia"/>
          <w:sz w:val="20"/>
          <w:szCs w:val="20"/>
          <w:highlight w:val="none"/>
          <w:lang w:val="en-US" w:eastAsia="zh-CN"/>
        </w:rPr>
        <w:t>完成本项目服务所需要的所有费用。</w:t>
      </w:r>
    </w:p>
    <w:p w14:paraId="76537AD1">
      <w:pPr>
        <w:spacing w:line="360" w:lineRule="auto"/>
        <w:ind w:firstLine="400" w:firstLineChars="2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eastAsia="zh-CN"/>
        </w:rPr>
        <w:t>3</w:t>
      </w:r>
      <w:r>
        <w:rPr>
          <w:rFonts w:hint="eastAsia" w:asciiTheme="minorEastAsia" w:hAnsiTheme="minorEastAsia"/>
          <w:sz w:val="20"/>
          <w:szCs w:val="20"/>
          <w:highlight w:val="none"/>
          <w:lang w:eastAsia="zh-CN"/>
        </w:rPr>
        <w:t>、</w:t>
      </w:r>
      <w:r>
        <w:rPr>
          <w:rFonts w:hint="eastAsia" w:asciiTheme="minorEastAsia" w:hAnsiTheme="minorEastAsia"/>
          <w:sz w:val="20"/>
          <w:szCs w:val="20"/>
          <w:highlight w:val="none"/>
          <w:lang w:val="en-US" w:eastAsia="zh-CN"/>
        </w:rPr>
        <w:t>合同总价</w:t>
      </w:r>
      <w:r>
        <w:rPr>
          <w:rFonts w:hint="eastAsia" w:asciiTheme="minorEastAsia" w:hAnsiTheme="minorEastAsia"/>
          <w:sz w:val="20"/>
          <w:szCs w:val="20"/>
          <w:highlight w:val="none"/>
          <w:lang w:eastAsia="zh-CN"/>
        </w:rPr>
        <w:t>包含本次活动的所有费用，在未增加项目的前提下，合同总价一次包</w:t>
      </w:r>
      <w:r>
        <w:rPr>
          <w:rFonts w:hint="eastAsia" w:asciiTheme="minorEastAsia" w:hAnsiTheme="minorEastAsia"/>
          <w:sz w:val="20"/>
          <w:szCs w:val="20"/>
          <w:highlight w:val="none"/>
          <w:lang w:val="en-US" w:eastAsia="zh-CN"/>
        </w:rPr>
        <w:t>死</w:t>
      </w:r>
      <w:r>
        <w:rPr>
          <w:rFonts w:hint="eastAsia" w:asciiTheme="minorEastAsia" w:hAnsiTheme="minorEastAsia"/>
          <w:sz w:val="20"/>
          <w:szCs w:val="20"/>
          <w:highlight w:val="none"/>
          <w:lang w:eastAsia="zh-CN"/>
        </w:rPr>
        <w:t>，不受市场价变化的影响，</w:t>
      </w:r>
      <w:r>
        <w:rPr>
          <w:rFonts w:hint="eastAsia" w:asciiTheme="minorEastAsia" w:hAnsiTheme="minorEastAsia"/>
          <w:sz w:val="20"/>
          <w:szCs w:val="20"/>
          <w:highlight w:val="none"/>
          <w:lang w:val="en-US" w:eastAsia="zh-CN"/>
        </w:rPr>
        <w:t>供应商</w:t>
      </w:r>
      <w:r>
        <w:rPr>
          <w:rFonts w:hint="eastAsia" w:asciiTheme="minorEastAsia" w:hAnsiTheme="minorEastAsia"/>
          <w:sz w:val="20"/>
          <w:szCs w:val="20"/>
          <w:highlight w:val="none"/>
          <w:lang w:eastAsia="zh-CN"/>
        </w:rPr>
        <w:t>不收取额外费用。</w:t>
      </w:r>
      <w:r>
        <w:rPr>
          <w:rFonts w:hint="eastAsia" w:asciiTheme="minorEastAsia" w:hAnsiTheme="minorEastAsia"/>
          <w:sz w:val="20"/>
          <w:szCs w:val="20"/>
          <w:highlight w:val="none"/>
          <w:lang w:val="en-US" w:eastAsia="zh-CN"/>
        </w:rPr>
        <w:t>乙方</w:t>
      </w:r>
      <w:r>
        <w:rPr>
          <w:rFonts w:hint="eastAsia" w:asciiTheme="minorEastAsia" w:hAnsiTheme="minorEastAsia"/>
          <w:sz w:val="20"/>
          <w:szCs w:val="20"/>
          <w:highlight w:val="none"/>
          <w:lang w:eastAsia="zh-CN"/>
        </w:rPr>
        <w:t>拟随行人员负责代理代表团赴日本、韩国</w:t>
      </w:r>
      <w:r>
        <w:rPr>
          <w:rFonts w:hint="eastAsia" w:asciiTheme="minorEastAsia" w:hAnsiTheme="minorEastAsia"/>
          <w:sz w:val="20"/>
          <w:szCs w:val="20"/>
          <w:highlight w:val="none"/>
          <w:lang w:val="en-US" w:eastAsia="zh-CN"/>
        </w:rPr>
        <w:t>期间所产生的费用及其他具体事项，在代表团赴日本、韩国前，根据会议举办实际日程情况与甲方签订补充协议，此项服务依照补充协议签订内容执行，不包含在此次签订的合同总价中。</w:t>
      </w:r>
    </w:p>
    <w:p w14:paraId="45BEFFDE">
      <w:pPr>
        <w:spacing w:line="360" w:lineRule="auto"/>
        <w:ind w:firstLine="400" w:firstLineChars="200"/>
        <w:rPr>
          <w:rFonts w:asciiTheme="minorEastAsia" w:hAnsiTheme="minorEastAsia"/>
          <w:sz w:val="20"/>
          <w:szCs w:val="20"/>
          <w:highlight w:val="none"/>
          <w:lang w:eastAsia="zh-CN"/>
        </w:rPr>
      </w:pPr>
      <w:bookmarkStart w:id="2" w:name="_Toc19515386"/>
      <w:r>
        <w:rPr>
          <w:rFonts w:hint="eastAsia" w:asciiTheme="minorEastAsia" w:hAnsiTheme="minorEastAsia"/>
          <w:sz w:val="20"/>
          <w:szCs w:val="20"/>
          <w:highlight w:val="none"/>
          <w:lang w:eastAsia="zh-CN"/>
        </w:rPr>
        <w:t>三、合同结算</w:t>
      </w:r>
      <w:bookmarkEnd w:id="2"/>
    </w:p>
    <w:p w14:paraId="6DFFBC12">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1、付款比例：</w:t>
      </w:r>
    </w:p>
    <w:p w14:paraId="4FFD4E8A">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w:t>
      </w:r>
      <w:r>
        <w:rPr>
          <w:rFonts w:hint="eastAsia" w:asciiTheme="minorEastAsia" w:hAnsiTheme="minorEastAsia"/>
          <w:sz w:val="20"/>
          <w:szCs w:val="20"/>
          <w:highlight w:val="none"/>
          <w:lang w:val="en-US" w:eastAsia="zh-CN"/>
        </w:rPr>
        <w:t>1</w:t>
      </w:r>
      <w:r>
        <w:rPr>
          <w:rFonts w:hint="eastAsia" w:asciiTheme="minorEastAsia" w:hAnsiTheme="minorEastAsia"/>
          <w:sz w:val="20"/>
          <w:szCs w:val="20"/>
          <w:highlight w:val="none"/>
          <w:lang w:eastAsia="zh-CN"/>
        </w:rPr>
        <w:t>）合同签订后，达到付款条件起1</w:t>
      </w:r>
      <w:r>
        <w:rPr>
          <w:rFonts w:hint="eastAsia" w:asciiTheme="minorEastAsia" w:hAnsiTheme="minorEastAsia"/>
          <w:sz w:val="20"/>
          <w:szCs w:val="20"/>
          <w:highlight w:val="none"/>
          <w:lang w:val="en-US" w:eastAsia="zh-CN"/>
        </w:rPr>
        <w:t>5</w:t>
      </w:r>
      <w:r>
        <w:rPr>
          <w:rFonts w:hint="eastAsia" w:asciiTheme="minorEastAsia" w:hAnsiTheme="minorEastAsia"/>
          <w:sz w:val="20"/>
          <w:szCs w:val="20"/>
          <w:highlight w:val="none"/>
          <w:lang w:eastAsia="zh-CN"/>
        </w:rPr>
        <w:t>日内，支付合同总金额的</w:t>
      </w:r>
      <w:r>
        <w:rPr>
          <w:rFonts w:hint="eastAsia" w:asciiTheme="minorEastAsia" w:hAnsiTheme="minorEastAsia"/>
          <w:sz w:val="20"/>
          <w:szCs w:val="20"/>
          <w:highlight w:val="none"/>
          <w:lang w:val="en-US" w:eastAsia="zh-CN"/>
        </w:rPr>
        <w:t>80</w:t>
      </w:r>
      <w:r>
        <w:rPr>
          <w:rFonts w:hint="eastAsia" w:asciiTheme="minorEastAsia" w:hAnsiTheme="minorEastAsia"/>
          <w:sz w:val="20"/>
          <w:szCs w:val="20"/>
          <w:highlight w:val="none"/>
          <w:lang w:eastAsia="zh-CN"/>
        </w:rPr>
        <w:t>.00%；</w:t>
      </w:r>
    </w:p>
    <w:p w14:paraId="224BD675">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w:t>
      </w:r>
      <w:r>
        <w:rPr>
          <w:rFonts w:hint="eastAsia" w:asciiTheme="minorEastAsia" w:hAnsiTheme="minorEastAsia"/>
          <w:sz w:val="20"/>
          <w:szCs w:val="20"/>
          <w:highlight w:val="none"/>
          <w:lang w:val="en-US" w:eastAsia="zh-CN"/>
        </w:rPr>
        <w:t>2</w:t>
      </w:r>
      <w:r>
        <w:rPr>
          <w:rFonts w:hint="eastAsia" w:asciiTheme="minorEastAsia" w:hAnsiTheme="minorEastAsia"/>
          <w:sz w:val="20"/>
          <w:szCs w:val="20"/>
          <w:highlight w:val="none"/>
          <w:lang w:eastAsia="zh-CN"/>
        </w:rPr>
        <w:t>）</w:t>
      </w:r>
      <w:r>
        <w:rPr>
          <w:rFonts w:hint="eastAsia" w:asciiTheme="minorEastAsia" w:hAnsiTheme="minorEastAsia"/>
          <w:sz w:val="20"/>
          <w:szCs w:val="20"/>
          <w:highlight w:val="none"/>
          <w:lang w:val="en-US" w:eastAsia="zh-CN"/>
        </w:rPr>
        <w:t>会议</w:t>
      </w:r>
      <w:r>
        <w:rPr>
          <w:rFonts w:hint="eastAsia" w:asciiTheme="minorEastAsia" w:hAnsiTheme="minorEastAsia"/>
          <w:sz w:val="20"/>
          <w:szCs w:val="20"/>
          <w:highlight w:val="none"/>
          <w:lang w:eastAsia="zh-CN"/>
        </w:rPr>
        <w:t>结束后，达到付款条件起1</w:t>
      </w:r>
      <w:r>
        <w:rPr>
          <w:rFonts w:hint="eastAsia" w:asciiTheme="minorEastAsia" w:hAnsiTheme="minorEastAsia"/>
          <w:sz w:val="20"/>
          <w:szCs w:val="20"/>
          <w:highlight w:val="none"/>
          <w:lang w:val="en-US" w:eastAsia="zh-CN"/>
        </w:rPr>
        <w:t>5</w:t>
      </w:r>
      <w:r>
        <w:rPr>
          <w:rFonts w:hint="eastAsia" w:asciiTheme="minorEastAsia" w:hAnsiTheme="minorEastAsia"/>
          <w:sz w:val="20"/>
          <w:szCs w:val="20"/>
          <w:highlight w:val="none"/>
          <w:lang w:eastAsia="zh-CN"/>
        </w:rPr>
        <w:t>日内，支付合同总金额的</w:t>
      </w:r>
      <w:r>
        <w:rPr>
          <w:rFonts w:hint="eastAsia" w:asciiTheme="minorEastAsia" w:hAnsiTheme="minorEastAsia"/>
          <w:sz w:val="20"/>
          <w:szCs w:val="20"/>
          <w:highlight w:val="none"/>
          <w:lang w:val="en-US" w:eastAsia="zh-CN"/>
        </w:rPr>
        <w:t>2</w:t>
      </w:r>
      <w:r>
        <w:rPr>
          <w:rFonts w:hint="eastAsia" w:asciiTheme="minorEastAsia" w:hAnsiTheme="minorEastAsia"/>
          <w:sz w:val="20"/>
          <w:szCs w:val="20"/>
          <w:highlight w:val="none"/>
          <w:lang w:eastAsia="zh-CN"/>
        </w:rPr>
        <w:t>0.00%</w:t>
      </w:r>
      <w:r>
        <w:rPr>
          <w:rFonts w:hint="eastAsia" w:asciiTheme="minorEastAsia" w:hAnsiTheme="minorEastAsia"/>
          <w:sz w:val="20"/>
          <w:szCs w:val="20"/>
          <w:highlight w:val="none"/>
          <w:lang w:eastAsia="zh-CN"/>
        </w:rPr>
        <w:t>；</w:t>
      </w:r>
    </w:p>
    <w:p w14:paraId="262A5475">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3.4.5验收标准和方法</w:t>
      </w:r>
    </w:p>
    <w:p w14:paraId="20640CD3">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2、结算方式：银行转账。</w:t>
      </w:r>
    </w:p>
    <w:p w14:paraId="1FBAFD7D">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3、结算单位：由</w:t>
      </w:r>
      <w:r>
        <w:rPr>
          <w:rFonts w:hint="eastAsia" w:asciiTheme="minorEastAsia" w:hAnsiTheme="minorEastAsia"/>
          <w:sz w:val="20"/>
          <w:szCs w:val="20"/>
          <w:highlight w:val="none"/>
          <w:u w:val="single"/>
          <w:lang w:eastAsia="zh-CN"/>
        </w:rPr>
        <w:t>甲方</w:t>
      </w:r>
      <w:r>
        <w:rPr>
          <w:rFonts w:hint="eastAsia" w:asciiTheme="minorEastAsia" w:hAnsiTheme="minorEastAsia"/>
          <w:sz w:val="20"/>
          <w:szCs w:val="20"/>
          <w:highlight w:val="none"/>
          <w:lang w:eastAsia="zh-CN"/>
        </w:rPr>
        <w:t>负责结算，乙方开具等额发票交采购人。</w:t>
      </w:r>
    </w:p>
    <w:p w14:paraId="260570FC">
      <w:pPr>
        <w:spacing w:line="360" w:lineRule="auto"/>
        <w:ind w:firstLine="400" w:firstLineChars="200"/>
        <w:rPr>
          <w:rFonts w:asciiTheme="minorEastAsia" w:hAnsiTheme="minorEastAsia"/>
          <w:sz w:val="20"/>
          <w:szCs w:val="20"/>
          <w:highlight w:val="none"/>
          <w:lang w:eastAsia="zh-CN"/>
        </w:rPr>
      </w:pPr>
      <w:bookmarkStart w:id="3" w:name="_Toc19515387"/>
      <w:r>
        <w:rPr>
          <w:rFonts w:hint="eastAsia" w:asciiTheme="minorEastAsia" w:hAnsiTheme="minorEastAsia"/>
          <w:sz w:val="20"/>
          <w:szCs w:val="20"/>
          <w:highlight w:val="none"/>
          <w:lang w:eastAsia="zh-CN"/>
        </w:rPr>
        <w:t>四、履行期限、地点及方式:</w:t>
      </w:r>
      <w:bookmarkEnd w:id="3"/>
    </w:p>
    <w:p w14:paraId="38145456">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1、履行期限：合同签订之日起60天（其中活动举办时间预计将于2025年7月份开展。）</w:t>
      </w:r>
    </w:p>
    <w:p w14:paraId="5204B9D4">
      <w:pPr>
        <w:spacing w:line="360" w:lineRule="auto"/>
        <w:ind w:firstLine="400" w:firstLineChars="200"/>
        <w:rPr>
          <w:rFonts w:hint="eastAsia"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（会议1</w:t>
      </w:r>
      <w:r>
        <w:rPr>
          <w:rFonts w:hint="default" w:asciiTheme="minorEastAsia" w:hAnsiTheme="minorEastAsia"/>
          <w:sz w:val="20"/>
          <w:szCs w:val="20"/>
          <w:highlight w:val="none"/>
          <w:lang w:val="en-US" w:eastAsia="zh-CN"/>
        </w:rPr>
        <w:t>名称:</w:t>
      </w:r>
      <w:r>
        <w:rPr>
          <w:rFonts w:hint="eastAsia" w:asciiTheme="minorEastAsia" w:hAnsiTheme="minorEastAsia"/>
          <w:sz w:val="20"/>
          <w:szCs w:val="20"/>
          <w:highlight w:val="none"/>
          <w:lang w:val="en-US" w:eastAsia="zh-CN"/>
        </w:rPr>
        <w:t xml:space="preserve">   ；预计</w:t>
      </w:r>
      <w:r>
        <w:rPr>
          <w:rFonts w:hint="default" w:asciiTheme="minorEastAsia" w:hAnsiTheme="minorEastAsia"/>
          <w:sz w:val="20"/>
          <w:szCs w:val="20"/>
          <w:highlight w:val="none"/>
          <w:lang w:val="en-US" w:eastAsia="zh-CN"/>
        </w:rPr>
        <w:t>举办时间:2025年</w:t>
      </w:r>
      <w:r>
        <w:rPr>
          <w:rFonts w:hint="eastAsia" w:asciiTheme="minorEastAsia" w:hAnsiTheme="minorEastAsia"/>
          <w:sz w:val="20"/>
          <w:szCs w:val="20"/>
          <w:highlight w:val="none"/>
          <w:lang w:val="en-US" w:eastAsia="zh-CN"/>
        </w:rPr>
        <w:t>7</w:t>
      </w:r>
      <w:r>
        <w:rPr>
          <w:rFonts w:hint="default" w:asciiTheme="minorEastAsia" w:hAnsiTheme="minorEastAsia"/>
          <w:sz w:val="20"/>
          <w:szCs w:val="20"/>
          <w:highlight w:val="none"/>
          <w:lang w:val="en-US" w:eastAsia="zh-CN"/>
        </w:rPr>
        <w:t>月</w:t>
      </w:r>
      <w:r>
        <w:rPr>
          <w:rFonts w:hint="eastAsia" w:asciiTheme="minorEastAsia" w:hAnsiTheme="minorEastAsia"/>
          <w:sz w:val="20"/>
          <w:szCs w:val="20"/>
          <w:highlight w:val="none"/>
          <w:lang w:val="en-US" w:eastAsia="zh-CN"/>
        </w:rPr>
        <w:t xml:space="preserve">   </w:t>
      </w:r>
      <w:r>
        <w:rPr>
          <w:rFonts w:hint="default" w:asciiTheme="minorEastAsia" w:hAnsiTheme="minorEastAsia"/>
          <w:sz w:val="20"/>
          <w:szCs w:val="20"/>
          <w:highlight w:val="none"/>
          <w:lang w:val="en-US" w:eastAsia="zh-CN"/>
        </w:rPr>
        <w:t>日</w:t>
      </w:r>
      <w:r>
        <w:rPr>
          <w:rFonts w:hint="eastAsia" w:asciiTheme="minorEastAsia" w:hAnsiTheme="minorEastAsia"/>
          <w:sz w:val="20"/>
          <w:szCs w:val="20"/>
          <w:highlight w:val="none"/>
          <w:lang w:val="en-US" w:eastAsia="zh-CN"/>
        </w:rPr>
        <w:t>；预计</w:t>
      </w:r>
      <w:r>
        <w:rPr>
          <w:rFonts w:hint="default" w:asciiTheme="minorEastAsia" w:hAnsiTheme="minorEastAsia"/>
          <w:sz w:val="20"/>
          <w:szCs w:val="20"/>
          <w:highlight w:val="none"/>
          <w:lang w:val="en-US" w:eastAsia="zh-CN"/>
        </w:rPr>
        <w:t>举办地点</w:t>
      </w:r>
      <w:r>
        <w:rPr>
          <w:rFonts w:hint="eastAsia" w:asciiTheme="minorEastAsia" w:hAnsiTheme="minorEastAsia"/>
          <w:sz w:val="20"/>
          <w:szCs w:val="20"/>
          <w:highlight w:val="none"/>
          <w:lang w:val="en-US" w:eastAsia="zh-CN"/>
        </w:rPr>
        <w:t xml:space="preserve">：     </w:t>
      </w:r>
    </w:p>
    <w:p w14:paraId="48CA34C6">
      <w:pPr>
        <w:spacing w:line="360" w:lineRule="auto"/>
        <w:ind w:firstLine="600" w:firstLineChars="3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会议2</w:t>
      </w:r>
      <w:r>
        <w:rPr>
          <w:rFonts w:hint="default" w:asciiTheme="minorEastAsia" w:hAnsiTheme="minorEastAsia"/>
          <w:sz w:val="20"/>
          <w:szCs w:val="20"/>
          <w:highlight w:val="none"/>
          <w:lang w:val="en-US" w:eastAsia="zh-CN"/>
        </w:rPr>
        <w:t>名称:</w:t>
      </w:r>
      <w:r>
        <w:rPr>
          <w:rFonts w:hint="eastAsia" w:asciiTheme="minorEastAsia" w:hAnsiTheme="minorEastAsia"/>
          <w:sz w:val="20"/>
          <w:szCs w:val="20"/>
          <w:highlight w:val="none"/>
          <w:lang w:val="en-US" w:eastAsia="zh-CN"/>
        </w:rPr>
        <w:t xml:space="preserve">   ；预计</w:t>
      </w:r>
      <w:r>
        <w:rPr>
          <w:rFonts w:hint="default" w:asciiTheme="minorEastAsia" w:hAnsiTheme="minorEastAsia"/>
          <w:sz w:val="20"/>
          <w:szCs w:val="20"/>
          <w:highlight w:val="none"/>
          <w:lang w:val="en-US" w:eastAsia="zh-CN"/>
        </w:rPr>
        <w:t>举办时间:2025年</w:t>
      </w:r>
      <w:r>
        <w:rPr>
          <w:rFonts w:hint="eastAsia" w:asciiTheme="minorEastAsia" w:hAnsiTheme="minorEastAsia"/>
          <w:sz w:val="20"/>
          <w:szCs w:val="20"/>
          <w:highlight w:val="none"/>
          <w:lang w:val="en-US" w:eastAsia="zh-CN"/>
        </w:rPr>
        <w:t>7</w:t>
      </w:r>
      <w:r>
        <w:rPr>
          <w:rFonts w:hint="default" w:asciiTheme="minorEastAsia" w:hAnsiTheme="minorEastAsia"/>
          <w:sz w:val="20"/>
          <w:szCs w:val="20"/>
          <w:highlight w:val="none"/>
          <w:lang w:val="en-US" w:eastAsia="zh-CN"/>
        </w:rPr>
        <w:t>月</w:t>
      </w:r>
      <w:r>
        <w:rPr>
          <w:rFonts w:hint="eastAsia" w:asciiTheme="minorEastAsia" w:hAnsiTheme="minorEastAsia"/>
          <w:sz w:val="20"/>
          <w:szCs w:val="20"/>
          <w:highlight w:val="none"/>
          <w:lang w:val="en-US" w:eastAsia="zh-CN"/>
        </w:rPr>
        <w:t xml:space="preserve">   </w:t>
      </w:r>
      <w:r>
        <w:rPr>
          <w:rFonts w:hint="default" w:asciiTheme="minorEastAsia" w:hAnsiTheme="minorEastAsia"/>
          <w:sz w:val="20"/>
          <w:szCs w:val="20"/>
          <w:highlight w:val="none"/>
          <w:lang w:val="en-US" w:eastAsia="zh-CN"/>
        </w:rPr>
        <w:t>日</w:t>
      </w:r>
      <w:r>
        <w:rPr>
          <w:rFonts w:hint="eastAsia" w:asciiTheme="minorEastAsia" w:hAnsiTheme="minorEastAsia"/>
          <w:sz w:val="20"/>
          <w:szCs w:val="20"/>
          <w:highlight w:val="none"/>
          <w:lang w:val="en-US" w:eastAsia="zh-CN"/>
        </w:rPr>
        <w:t>；预计</w:t>
      </w:r>
      <w:r>
        <w:rPr>
          <w:rFonts w:hint="default" w:asciiTheme="minorEastAsia" w:hAnsiTheme="minorEastAsia"/>
          <w:sz w:val="20"/>
          <w:szCs w:val="20"/>
          <w:highlight w:val="none"/>
          <w:lang w:val="en-US" w:eastAsia="zh-CN"/>
        </w:rPr>
        <w:t>举办地点</w:t>
      </w:r>
      <w:r>
        <w:rPr>
          <w:rFonts w:hint="eastAsia" w:asciiTheme="minorEastAsia" w:hAnsiTheme="minorEastAsia"/>
          <w:sz w:val="20"/>
          <w:szCs w:val="20"/>
          <w:highlight w:val="none"/>
          <w:lang w:val="en-US" w:eastAsia="zh-CN"/>
        </w:rPr>
        <w:t>：     ）</w:t>
      </w:r>
    </w:p>
    <w:p w14:paraId="5BFA243F">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2、地点：甲方指定地点</w:t>
      </w:r>
    </w:p>
    <w:p w14:paraId="407C357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3、方式：</w:t>
      </w:r>
    </w:p>
    <w:p w14:paraId="70869608">
      <w:pPr>
        <w:spacing w:line="360" w:lineRule="auto"/>
        <w:ind w:firstLine="400" w:firstLineChars="200"/>
        <w:rPr>
          <w:rFonts w:asciiTheme="minorEastAsia" w:hAnsiTheme="minorEastAsia"/>
          <w:sz w:val="20"/>
          <w:szCs w:val="20"/>
          <w:highlight w:val="none"/>
          <w:lang w:eastAsia="zh-CN"/>
        </w:rPr>
      </w:pPr>
      <w:bookmarkStart w:id="4" w:name="_Toc19515390"/>
      <w:r>
        <w:rPr>
          <w:rFonts w:hint="eastAsia" w:asciiTheme="minorEastAsia" w:hAnsiTheme="minorEastAsia"/>
          <w:sz w:val="20"/>
          <w:szCs w:val="20"/>
          <w:highlight w:val="none"/>
          <w:lang w:eastAsia="zh-CN"/>
        </w:rPr>
        <w:t>五、技术服务</w:t>
      </w:r>
      <w:bookmarkEnd w:id="4"/>
    </w:p>
    <w:p w14:paraId="6AC698CB">
      <w:pPr>
        <w:spacing w:line="360" w:lineRule="auto"/>
        <w:ind w:firstLine="400" w:firstLineChars="2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eastAsia="zh-CN"/>
        </w:rPr>
        <w:t>1、对技术服务的要求：活动结束后30日内，</w:t>
      </w:r>
      <w:r>
        <w:rPr>
          <w:rFonts w:hint="eastAsia" w:asciiTheme="minorEastAsia" w:hAnsiTheme="minorEastAsia"/>
          <w:sz w:val="20"/>
          <w:szCs w:val="20"/>
          <w:highlight w:val="none"/>
          <w:lang w:eastAsia="zh-CN"/>
        </w:rPr>
        <w:t>乙方需将会议执行情况、会议相关数据、会议总结等上报甲方，并按照甲方要求提交经费核销相关资料。</w:t>
      </w:r>
    </w:p>
    <w:p w14:paraId="08F9306E">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2、技术资料：会议执行情况、会议相关数据、会议总结、</w:t>
      </w:r>
      <w:r>
        <w:rPr>
          <w:rFonts w:hint="eastAsia" w:asciiTheme="minorEastAsia" w:hAnsiTheme="minorEastAsia"/>
          <w:sz w:val="20"/>
          <w:szCs w:val="20"/>
          <w:highlight w:val="none"/>
          <w:lang w:val="en-US" w:eastAsia="zh-CN"/>
        </w:rPr>
        <w:t>经费核销相关资料</w:t>
      </w:r>
      <w:r>
        <w:rPr>
          <w:rFonts w:hint="eastAsia" w:asciiTheme="minorEastAsia" w:hAnsiTheme="minorEastAsia"/>
          <w:sz w:val="20"/>
          <w:szCs w:val="20"/>
          <w:highlight w:val="none"/>
          <w:lang w:eastAsia="zh-CN"/>
        </w:rPr>
        <w:t>等</w:t>
      </w:r>
    </w:p>
    <w:p w14:paraId="217B2393">
      <w:pPr>
        <w:spacing w:line="360" w:lineRule="auto"/>
        <w:ind w:firstLine="400" w:firstLineChars="2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3、知识产权：乙方应保护甲方的知识产权，不得向第三人泄露、转让委托方提交的技术经济资料等成果文件；甲方应保护乙方的响应文件、方案、文件、资料、数据、计算软件和专利技术，不得擅自修改、复制或向第三人转让或用于本合同外的项目。</w:t>
      </w:r>
    </w:p>
    <w:p w14:paraId="3525DBC2">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val="en-US" w:eastAsia="zh-CN"/>
        </w:rPr>
        <w:t>4</w:t>
      </w:r>
      <w:r>
        <w:rPr>
          <w:rFonts w:hint="eastAsia" w:asciiTheme="minorEastAsia" w:hAnsiTheme="minorEastAsia"/>
          <w:sz w:val="20"/>
          <w:szCs w:val="20"/>
          <w:highlight w:val="none"/>
          <w:lang w:eastAsia="zh-CN"/>
        </w:rPr>
        <w:t>、售后服务</w:t>
      </w:r>
    </w:p>
    <w:p w14:paraId="791C5C6A">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val="en-US" w:eastAsia="zh-CN"/>
        </w:rPr>
        <w:t>4</w:t>
      </w:r>
      <w:r>
        <w:rPr>
          <w:rFonts w:hint="eastAsia" w:asciiTheme="minorEastAsia" w:hAnsiTheme="minorEastAsia"/>
          <w:sz w:val="20"/>
          <w:szCs w:val="20"/>
          <w:highlight w:val="none"/>
          <w:lang w:eastAsia="zh-CN"/>
        </w:rPr>
        <w:t>-1、乙方在接到甲方电话通知后在</w:t>
      </w:r>
      <w:r>
        <w:rPr>
          <w:rFonts w:hint="eastAsia" w:asciiTheme="minorEastAsia" w:hAnsiTheme="minorEastAsia"/>
          <w:sz w:val="20"/>
          <w:szCs w:val="20"/>
          <w:highlight w:val="none"/>
          <w:u w:val="single"/>
          <w:lang w:val="en-US" w:eastAsia="zh-CN"/>
        </w:rPr>
        <w:t>4</w:t>
      </w:r>
      <w:r>
        <w:rPr>
          <w:rFonts w:hint="eastAsia" w:asciiTheme="minorEastAsia" w:hAnsiTheme="minorEastAsia"/>
          <w:sz w:val="20"/>
          <w:szCs w:val="20"/>
          <w:highlight w:val="none"/>
          <w:lang w:eastAsia="zh-CN"/>
        </w:rPr>
        <w:t>小时内派出合格的服务人员到达现场进行服务，承担相应费用。</w:t>
      </w:r>
    </w:p>
    <w:p w14:paraId="7D6AF9B5">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val="en-US" w:eastAsia="zh-CN"/>
        </w:rPr>
        <w:t>4</w:t>
      </w:r>
      <w:r>
        <w:rPr>
          <w:rFonts w:hint="eastAsia" w:asciiTheme="minorEastAsia" w:hAnsiTheme="minorEastAsia"/>
          <w:sz w:val="20"/>
          <w:szCs w:val="20"/>
          <w:highlight w:val="none"/>
          <w:lang w:eastAsia="zh-CN"/>
        </w:rPr>
        <w:t>-2、如果乙方在收到通知后两天内没有弥补缺陷，甲方可采取必要的补救措施，但其风险和费用将由乙方承担，甲方根据合同规定对乙方行使的其它权力不受影响。</w:t>
      </w:r>
    </w:p>
    <w:p w14:paraId="003739C6">
      <w:pPr>
        <w:spacing w:line="360" w:lineRule="auto"/>
        <w:ind w:firstLine="400" w:firstLineChars="200"/>
        <w:rPr>
          <w:rFonts w:asciiTheme="minorEastAsia" w:hAnsiTheme="minorEastAsia"/>
          <w:sz w:val="20"/>
          <w:szCs w:val="20"/>
          <w:highlight w:val="none"/>
          <w:lang w:eastAsia="zh-CN"/>
        </w:rPr>
      </w:pPr>
      <w:bookmarkStart w:id="5" w:name="_Toc19515391"/>
      <w:r>
        <w:rPr>
          <w:rFonts w:hint="eastAsia" w:asciiTheme="minorEastAsia" w:hAnsiTheme="minorEastAsia"/>
          <w:sz w:val="20"/>
          <w:szCs w:val="20"/>
          <w:highlight w:val="none"/>
          <w:lang w:eastAsia="zh-CN"/>
        </w:rPr>
        <w:t>六、验收</w:t>
      </w:r>
      <w:bookmarkEnd w:id="5"/>
    </w:p>
    <w:p w14:paraId="4862AF31">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1、验收：乙方完成</w:t>
      </w:r>
      <w:r>
        <w:rPr>
          <w:rFonts w:hint="eastAsia" w:asciiTheme="minorEastAsia" w:hAnsiTheme="minorEastAsia"/>
          <w:sz w:val="20"/>
          <w:szCs w:val="20"/>
          <w:highlight w:val="none"/>
          <w:lang w:val="en-US" w:eastAsia="zh-CN"/>
        </w:rPr>
        <w:t>项目</w:t>
      </w:r>
      <w:r>
        <w:rPr>
          <w:rFonts w:hint="eastAsia" w:asciiTheme="minorEastAsia" w:hAnsiTheme="minorEastAsia"/>
          <w:sz w:val="20"/>
          <w:szCs w:val="20"/>
          <w:highlight w:val="none"/>
          <w:lang w:eastAsia="zh-CN"/>
        </w:rPr>
        <w:t>内容后，向甲方提出验收申请，甲方接到乙方验收申请后组织验收（必要时可聘请相应专家或委托相应部门验收），验收合格后，出具使用验收合格证明。</w:t>
      </w:r>
    </w:p>
    <w:p w14:paraId="51380DF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2、最终验收：最终验收结果作为付款依据，乙方填写验收单，并向甲方提交实施过程中的所有资料，以便甲方日后管理和维护。</w:t>
      </w:r>
    </w:p>
    <w:p w14:paraId="7085EBC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3、验收依据：</w:t>
      </w:r>
    </w:p>
    <w:p w14:paraId="0C21A60C">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3-1、合同文本、合同附件、</w:t>
      </w:r>
      <w:r>
        <w:rPr>
          <w:rFonts w:hint="eastAsia" w:asciiTheme="minorEastAsia" w:hAnsiTheme="minorEastAsia"/>
          <w:sz w:val="20"/>
          <w:szCs w:val="20"/>
          <w:highlight w:val="none"/>
          <w:lang w:val="en-US" w:eastAsia="zh-CN"/>
        </w:rPr>
        <w:t>磋商</w:t>
      </w:r>
      <w:r>
        <w:rPr>
          <w:rFonts w:hint="eastAsia" w:asciiTheme="minorEastAsia" w:hAnsiTheme="minorEastAsia"/>
          <w:sz w:val="20"/>
          <w:szCs w:val="20"/>
          <w:highlight w:val="none"/>
          <w:lang w:eastAsia="zh-CN"/>
        </w:rPr>
        <w:t>文件、</w:t>
      </w:r>
      <w:r>
        <w:rPr>
          <w:rFonts w:hint="eastAsia" w:asciiTheme="minorEastAsia" w:hAnsiTheme="minorEastAsia"/>
          <w:sz w:val="20"/>
          <w:szCs w:val="20"/>
          <w:highlight w:val="none"/>
          <w:lang w:val="en-US" w:eastAsia="zh-CN"/>
        </w:rPr>
        <w:t>响应</w:t>
      </w:r>
      <w:r>
        <w:rPr>
          <w:rFonts w:hint="eastAsia" w:asciiTheme="minorEastAsia" w:hAnsiTheme="minorEastAsia"/>
          <w:sz w:val="20"/>
          <w:szCs w:val="20"/>
          <w:highlight w:val="none"/>
          <w:lang w:eastAsia="zh-CN"/>
        </w:rPr>
        <w:t>文件。</w:t>
      </w:r>
    </w:p>
    <w:p w14:paraId="6281974A">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3-2、国内相应的标准、规范。</w:t>
      </w:r>
    </w:p>
    <w:p w14:paraId="01083C3F">
      <w:pPr>
        <w:spacing w:line="360" w:lineRule="auto"/>
        <w:ind w:firstLine="400" w:firstLineChars="200"/>
        <w:rPr>
          <w:rFonts w:asciiTheme="minorEastAsia" w:hAnsiTheme="minorEastAsia"/>
          <w:sz w:val="20"/>
          <w:szCs w:val="20"/>
          <w:highlight w:val="none"/>
          <w:lang w:eastAsia="zh-CN"/>
        </w:rPr>
      </w:pPr>
      <w:bookmarkStart w:id="6" w:name="_Toc19515392"/>
      <w:r>
        <w:rPr>
          <w:rFonts w:hint="eastAsia" w:asciiTheme="minorEastAsia" w:hAnsiTheme="minorEastAsia"/>
          <w:sz w:val="20"/>
          <w:szCs w:val="20"/>
          <w:highlight w:val="none"/>
          <w:lang w:eastAsia="zh-CN"/>
        </w:rPr>
        <w:t>七、违约责任</w:t>
      </w:r>
      <w:bookmarkEnd w:id="6"/>
    </w:p>
    <w:p w14:paraId="5D7883F1">
      <w:pPr>
        <w:spacing w:line="480" w:lineRule="auto"/>
        <w:ind w:firstLine="480"/>
        <w:rPr>
          <w:rFonts w:cs="仿宋" w:asciiTheme="minorEastAsia" w:hAnsiTheme="minorEastAsia"/>
          <w:sz w:val="20"/>
          <w:szCs w:val="20"/>
          <w:highlight w:val="none"/>
          <w:lang w:eastAsia="zh-CN"/>
        </w:rPr>
      </w:pPr>
      <w:bookmarkStart w:id="7" w:name="_Toc19515393"/>
      <w:r>
        <w:rPr>
          <w:rFonts w:hint="eastAsia" w:cs="仿宋" w:asciiTheme="minorEastAsia" w:hAnsiTheme="minorEastAsia"/>
          <w:sz w:val="20"/>
          <w:szCs w:val="20"/>
          <w:highlight w:val="none"/>
          <w:lang w:eastAsia="zh-CN"/>
        </w:rPr>
        <w:t>1、按《中华人民共和国民法典》以及相关法律的条款执行。</w:t>
      </w:r>
    </w:p>
    <w:p w14:paraId="4E339693">
      <w:pPr>
        <w:spacing w:line="480" w:lineRule="auto"/>
        <w:ind w:firstLine="480"/>
        <w:rPr>
          <w:rFonts w:cs="仿宋" w:asciiTheme="minorEastAsia" w:hAnsiTheme="minorEastAsia"/>
          <w:sz w:val="20"/>
          <w:szCs w:val="20"/>
          <w:highlight w:val="none"/>
          <w:lang w:eastAsia="zh-CN"/>
        </w:rPr>
      </w:pPr>
      <w:r>
        <w:rPr>
          <w:rFonts w:hint="eastAsia" w:cs="仿宋" w:asciiTheme="minorEastAsia" w:hAnsiTheme="minorEastAsia"/>
          <w:sz w:val="20"/>
          <w:szCs w:val="20"/>
          <w:highlight w:val="none"/>
          <w:lang w:eastAsia="zh-CN"/>
        </w:rPr>
        <w:t>2、乙方履约延误</w:t>
      </w:r>
    </w:p>
    <w:p w14:paraId="747CF5A4">
      <w:pPr>
        <w:spacing w:line="480" w:lineRule="auto"/>
        <w:ind w:firstLine="480"/>
        <w:rPr>
          <w:rFonts w:cs="仿宋" w:asciiTheme="minorEastAsia" w:hAnsiTheme="minorEastAsia"/>
          <w:sz w:val="20"/>
          <w:szCs w:val="20"/>
          <w:highlight w:val="none"/>
          <w:lang w:eastAsia="zh-CN"/>
        </w:rPr>
      </w:pPr>
      <w:r>
        <w:rPr>
          <w:rFonts w:hint="eastAsia" w:cs="仿宋" w:asciiTheme="minorEastAsia" w:hAnsiTheme="minorEastAsia"/>
          <w:sz w:val="20"/>
          <w:szCs w:val="20"/>
          <w:highlight w:val="none"/>
          <w:lang w:eastAsia="zh-CN"/>
        </w:rPr>
        <w:t>2-1、如乙方事先未征得甲方同意并得到</w:t>
      </w:r>
      <w:r>
        <w:rPr>
          <w:rFonts w:hint="eastAsia" w:cs="仿宋" w:asciiTheme="minorEastAsia" w:hAnsiTheme="minorEastAsia"/>
          <w:sz w:val="20"/>
          <w:szCs w:val="20"/>
          <w:highlight w:val="none"/>
          <w:lang w:eastAsia="zh-CN"/>
        </w:rPr>
        <w:t>甲方的谅解而单方面延迟执行合同，每延误一天的赔偿费按合同金额的百分之零点五（0.5%）计收。误期赔偿费的最高限额为合同价格的百分之五（5%）。一旦达到误期赔偿费的最高限额，甲方可终止合同。</w:t>
      </w:r>
    </w:p>
    <w:p w14:paraId="76368823">
      <w:pPr>
        <w:spacing w:line="480" w:lineRule="auto"/>
        <w:ind w:firstLine="480"/>
        <w:rPr>
          <w:rFonts w:cs="仿宋" w:asciiTheme="minorEastAsia" w:hAnsiTheme="minorEastAsia"/>
          <w:sz w:val="20"/>
          <w:szCs w:val="20"/>
          <w:highlight w:val="none"/>
          <w:lang w:eastAsia="zh-CN"/>
        </w:rPr>
      </w:pPr>
      <w:r>
        <w:rPr>
          <w:rFonts w:hint="eastAsia" w:cs="仿宋" w:asciiTheme="minorEastAsia" w:hAnsiTheme="minorEastAsia"/>
          <w:sz w:val="20"/>
          <w:szCs w:val="20"/>
          <w:highlight w:val="none"/>
          <w:lang w:eastAsia="zh-CN"/>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1CCDC39">
      <w:pPr>
        <w:spacing w:line="360" w:lineRule="auto"/>
        <w:ind w:firstLine="400" w:firstLineChars="200"/>
        <w:rPr>
          <w:rFonts w:cs="仿宋" w:asciiTheme="minorEastAsia" w:hAnsiTheme="minorEastAsia"/>
          <w:sz w:val="20"/>
          <w:szCs w:val="20"/>
          <w:highlight w:val="none"/>
          <w:lang w:eastAsia="zh-CN"/>
        </w:rPr>
      </w:pPr>
      <w:r>
        <w:rPr>
          <w:rFonts w:hint="eastAsia" w:cs="仿宋" w:asciiTheme="minorEastAsia" w:hAnsiTheme="minorEastAsia"/>
          <w:sz w:val="20"/>
          <w:szCs w:val="20"/>
          <w:highlight w:val="none"/>
          <w:lang w:eastAsia="zh-CN"/>
        </w:rPr>
        <w:t>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w:t>
      </w:r>
    </w:p>
    <w:p w14:paraId="2FDA6D00">
      <w:pPr>
        <w:spacing w:line="360" w:lineRule="auto"/>
        <w:ind w:firstLine="400" w:firstLineChars="200"/>
        <w:rPr>
          <w:rFonts w:cs="仿宋" w:asciiTheme="minorEastAsia" w:hAnsiTheme="minorEastAsia"/>
          <w:sz w:val="20"/>
          <w:szCs w:val="20"/>
          <w:highlight w:val="none"/>
          <w:lang w:eastAsia="zh-CN"/>
        </w:rPr>
      </w:pPr>
      <w:r>
        <w:rPr>
          <w:rFonts w:hint="eastAsia" w:cs="仿宋" w:asciiTheme="minorEastAsia" w:hAnsiTheme="minorEastAsia"/>
          <w:sz w:val="20"/>
          <w:szCs w:val="20"/>
          <w:highlight w:val="none"/>
          <w:lang w:eastAsia="zh-CN"/>
        </w:rPr>
        <w:t>4、本合同履行过程中，如因乙方违约，甲方提起诉讼的，乙方应当承担甲方为实现权利而产生的费用，包括但不限于诉讼费、律师费、鉴定费、评估费等费用。</w:t>
      </w:r>
    </w:p>
    <w:p w14:paraId="4CBCDE1D">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八、合同组成</w:t>
      </w:r>
      <w:bookmarkEnd w:id="7"/>
    </w:p>
    <w:p w14:paraId="603E916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1、成交通知书</w:t>
      </w:r>
    </w:p>
    <w:p w14:paraId="6E2317D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2、合同文件</w:t>
      </w:r>
    </w:p>
    <w:p w14:paraId="7B1D56D4">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3、国家相关规范及标准</w:t>
      </w:r>
    </w:p>
    <w:p w14:paraId="1B33959A">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4、</w:t>
      </w:r>
      <w:r>
        <w:rPr>
          <w:rFonts w:hint="eastAsia" w:asciiTheme="minorEastAsia" w:hAnsiTheme="minorEastAsia"/>
          <w:sz w:val="20"/>
          <w:szCs w:val="20"/>
          <w:highlight w:val="none"/>
          <w:lang w:val="en-US" w:eastAsia="zh-CN"/>
        </w:rPr>
        <w:t>竞争性磋商</w:t>
      </w:r>
      <w:r>
        <w:rPr>
          <w:rFonts w:hint="eastAsia" w:asciiTheme="minorEastAsia" w:hAnsiTheme="minorEastAsia"/>
          <w:sz w:val="20"/>
          <w:szCs w:val="20"/>
          <w:highlight w:val="none"/>
          <w:lang w:eastAsia="zh-CN"/>
        </w:rPr>
        <w:t>文件</w:t>
      </w:r>
    </w:p>
    <w:p w14:paraId="07E64429">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5、</w:t>
      </w:r>
      <w:r>
        <w:rPr>
          <w:rFonts w:hint="eastAsia" w:asciiTheme="minorEastAsia" w:hAnsiTheme="minorEastAsia"/>
          <w:sz w:val="20"/>
          <w:szCs w:val="20"/>
          <w:highlight w:val="none"/>
          <w:lang w:val="en-US" w:eastAsia="zh-CN"/>
        </w:rPr>
        <w:t>响应</w:t>
      </w:r>
      <w:r>
        <w:rPr>
          <w:rFonts w:hint="eastAsia" w:asciiTheme="minorEastAsia" w:hAnsiTheme="minorEastAsia"/>
          <w:sz w:val="20"/>
          <w:szCs w:val="20"/>
          <w:highlight w:val="none"/>
          <w:lang w:eastAsia="zh-CN"/>
        </w:rPr>
        <w:t>文件</w:t>
      </w:r>
    </w:p>
    <w:p w14:paraId="793A607A">
      <w:pPr>
        <w:spacing w:line="360" w:lineRule="auto"/>
        <w:ind w:firstLine="400" w:firstLineChars="200"/>
        <w:rPr>
          <w:rFonts w:asciiTheme="minorEastAsia" w:hAnsiTheme="minorEastAsia"/>
          <w:sz w:val="20"/>
          <w:szCs w:val="20"/>
          <w:highlight w:val="none"/>
          <w:lang w:eastAsia="zh-CN"/>
        </w:rPr>
      </w:pPr>
      <w:bookmarkStart w:id="8" w:name="_Toc19515394"/>
      <w:r>
        <w:rPr>
          <w:rFonts w:hint="eastAsia" w:asciiTheme="minorEastAsia" w:hAnsiTheme="minorEastAsia"/>
          <w:sz w:val="20"/>
          <w:szCs w:val="20"/>
          <w:highlight w:val="none"/>
          <w:lang w:eastAsia="zh-CN"/>
        </w:rPr>
        <w:t>九、解决争议的方法</w:t>
      </w:r>
      <w:bookmarkEnd w:id="8"/>
    </w:p>
    <w:p w14:paraId="0AA3074D">
      <w:pPr>
        <w:spacing w:line="360" w:lineRule="auto"/>
        <w:ind w:right="-110" w:firstLine="400" w:firstLineChars="200"/>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凡因本合同引起的或与本合同有关的争议，双方应友好协商解决。协商不成时，双方均同意采用以下第（</w:t>
      </w:r>
      <w:r>
        <w:rPr>
          <w:rFonts w:hint="eastAsia" w:asciiTheme="minorEastAsia" w:hAnsiTheme="minorEastAsia"/>
          <w:sz w:val="20"/>
          <w:szCs w:val="20"/>
          <w:highlight w:val="none"/>
          <w:lang w:val="en-US" w:eastAsia="zh-CN"/>
        </w:rPr>
        <w:t>1</w:t>
      </w:r>
      <w:r>
        <w:rPr>
          <w:rFonts w:hint="eastAsia" w:asciiTheme="minorEastAsia" w:hAnsiTheme="minorEastAsia"/>
          <w:sz w:val="20"/>
          <w:szCs w:val="20"/>
          <w:highlight w:val="none"/>
          <w:lang w:eastAsia="zh-CN"/>
        </w:rPr>
        <w:t>）种争议解决方式：</w:t>
      </w:r>
    </w:p>
    <w:p w14:paraId="07D343EB">
      <w:pPr>
        <w:spacing w:line="360" w:lineRule="auto"/>
        <w:ind w:right="-110" w:firstLine="400" w:firstLineChars="200"/>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（1）、甲、乙双方均同意向（甲方所在地人民法院）提起诉讼。</w:t>
      </w:r>
    </w:p>
    <w:p w14:paraId="614376F8">
      <w:pPr>
        <w:spacing w:line="360" w:lineRule="auto"/>
        <w:ind w:right="-110" w:firstLine="400" w:firstLineChars="200"/>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（2）、甲、乙双方均同意向（</w:t>
      </w:r>
      <w:r>
        <w:rPr>
          <w:highlight w:val="none"/>
        </w:rPr>
        <w:fldChar w:fldCharType="begin"/>
      </w:r>
      <w:r>
        <w:rPr>
          <w:highlight w:val="none"/>
        </w:rPr>
        <w:instrText xml:space="preserve"> HYPERLINK "http://www.baidu.com/s?wd=%E4%BB%B2%E8%A3%81%E5%A7%94%E5%91%98%E4%BC%9A&amp;tn=SE_PcZhidaonwhc_ngpagmjz&amp;rsv_dl=gh_pc_zhidao" \t "_blank" </w:instrText>
      </w:r>
      <w:r>
        <w:rPr>
          <w:highlight w:val="none"/>
        </w:rPr>
        <w:fldChar w:fldCharType="separate"/>
      </w:r>
      <w:r>
        <w:rPr>
          <w:rFonts w:hint="eastAsia" w:asciiTheme="minorEastAsia" w:hAnsiTheme="minorEastAsia"/>
          <w:sz w:val="20"/>
          <w:szCs w:val="20"/>
          <w:highlight w:val="none"/>
          <w:lang w:eastAsia="zh-CN"/>
        </w:rPr>
        <w:t>仲裁委员会</w:t>
      </w:r>
      <w:r>
        <w:rPr>
          <w:rFonts w:hint="eastAsia" w:asciiTheme="minorEastAsia" w:hAnsiTheme="minorEastAsia"/>
          <w:sz w:val="20"/>
          <w:szCs w:val="20"/>
          <w:highlight w:val="none"/>
          <w:lang w:eastAsia="zh-CN"/>
        </w:rPr>
        <w:fldChar w:fldCharType="end"/>
      </w:r>
      <w:r>
        <w:rPr>
          <w:rFonts w:hint="eastAsia" w:asciiTheme="minorEastAsia" w:hAnsiTheme="minorEastAsia"/>
          <w:sz w:val="20"/>
          <w:szCs w:val="20"/>
          <w:highlight w:val="none"/>
          <w:lang w:eastAsia="zh-CN"/>
        </w:rPr>
        <w:t>）提起仲裁。</w:t>
      </w:r>
    </w:p>
    <w:p w14:paraId="50AF5C52">
      <w:pPr>
        <w:spacing w:line="360" w:lineRule="auto"/>
        <w:ind w:firstLine="400" w:firstLineChars="200"/>
        <w:rPr>
          <w:rFonts w:asciiTheme="minorEastAsia" w:hAnsiTheme="minorEastAsia"/>
          <w:sz w:val="20"/>
          <w:szCs w:val="20"/>
          <w:highlight w:val="none"/>
          <w:lang w:eastAsia="zh-CN"/>
        </w:rPr>
      </w:pPr>
      <w:bookmarkStart w:id="9" w:name="_Toc19515395"/>
      <w:r>
        <w:rPr>
          <w:rFonts w:hint="eastAsia" w:asciiTheme="minorEastAsia" w:hAnsiTheme="minorEastAsia"/>
          <w:sz w:val="20"/>
          <w:szCs w:val="20"/>
          <w:highlight w:val="none"/>
          <w:lang w:eastAsia="zh-CN"/>
        </w:rPr>
        <w:t>十、合同生效及其它</w:t>
      </w:r>
      <w:bookmarkEnd w:id="9"/>
    </w:p>
    <w:p w14:paraId="3233EBD4">
      <w:pPr>
        <w:spacing w:line="360" w:lineRule="auto"/>
        <w:ind w:right="-110" w:firstLine="400" w:firstLineChars="200"/>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1、合同未尽事宜、由甲、乙双方协商，作为合同补充，与原合同具有同等法律效力。</w:t>
      </w:r>
    </w:p>
    <w:p w14:paraId="196813D4">
      <w:pPr>
        <w:tabs>
          <w:tab w:val="left" w:pos="8391"/>
        </w:tabs>
        <w:spacing w:line="360" w:lineRule="auto"/>
        <w:ind w:right="-69" w:firstLine="400" w:firstLineChars="200"/>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2、本合同正本一式</w:t>
      </w:r>
      <w:r>
        <w:rPr>
          <w:rFonts w:hint="eastAsia" w:asciiTheme="minorEastAsia" w:hAnsiTheme="minorEastAsia"/>
          <w:sz w:val="20"/>
          <w:szCs w:val="20"/>
          <w:highlight w:val="none"/>
          <w:u w:val="single"/>
          <w:lang w:eastAsia="zh-CN"/>
        </w:rPr>
        <w:t xml:space="preserve">  </w:t>
      </w:r>
      <w:r>
        <w:rPr>
          <w:rFonts w:hint="eastAsia" w:asciiTheme="minorEastAsia" w:hAnsiTheme="minorEastAsia"/>
          <w:sz w:val="20"/>
          <w:szCs w:val="20"/>
          <w:highlight w:val="none"/>
          <w:lang w:eastAsia="zh-CN"/>
        </w:rPr>
        <w:t>份，甲方、乙方双方分别执</w:t>
      </w:r>
      <w:r>
        <w:rPr>
          <w:rFonts w:hint="eastAsia" w:asciiTheme="minorEastAsia" w:hAnsiTheme="minorEastAsia"/>
          <w:sz w:val="20"/>
          <w:szCs w:val="20"/>
          <w:highlight w:val="none"/>
          <w:u w:val="single"/>
          <w:lang w:eastAsia="zh-CN"/>
        </w:rPr>
        <w:t xml:space="preserve">  </w:t>
      </w:r>
      <w:r>
        <w:rPr>
          <w:rFonts w:hint="eastAsia" w:asciiTheme="minorEastAsia" w:hAnsiTheme="minorEastAsia"/>
          <w:sz w:val="20"/>
          <w:szCs w:val="20"/>
          <w:highlight w:val="none"/>
          <w:lang w:eastAsia="zh-CN"/>
        </w:rPr>
        <w:t>份，</w:t>
      </w:r>
      <w:r>
        <w:rPr>
          <w:rFonts w:hint="eastAsia" w:asciiTheme="minorEastAsia" w:hAnsiTheme="minorEastAsia"/>
          <w:sz w:val="20"/>
          <w:szCs w:val="20"/>
          <w:highlight w:val="none"/>
          <w:u w:val="single"/>
          <w:lang w:eastAsia="zh-CN"/>
        </w:rPr>
        <w:t xml:space="preserve">       </w:t>
      </w:r>
      <w:r>
        <w:rPr>
          <w:rFonts w:hint="eastAsia" w:asciiTheme="minorEastAsia" w:hAnsiTheme="minorEastAsia"/>
          <w:sz w:val="20"/>
          <w:szCs w:val="20"/>
          <w:highlight w:val="none"/>
          <w:lang w:eastAsia="zh-CN"/>
        </w:rPr>
        <w:t>备案</w:t>
      </w:r>
      <w:r>
        <w:rPr>
          <w:rFonts w:hint="eastAsia" w:asciiTheme="minorEastAsia" w:hAnsiTheme="minorEastAsia"/>
          <w:sz w:val="20"/>
          <w:szCs w:val="20"/>
          <w:highlight w:val="none"/>
          <w:u w:val="single"/>
          <w:lang w:eastAsia="zh-CN"/>
        </w:rPr>
        <w:t xml:space="preserve">  </w:t>
      </w:r>
      <w:r>
        <w:rPr>
          <w:rFonts w:hint="eastAsia" w:asciiTheme="minorEastAsia" w:hAnsiTheme="minorEastAsia"/>
          <w:sz w:val="20"/>
          <w:szCs w:val="20"/>
          <w:highlight w:val="none"/>
          <w:lang w:eastAsia="zh-CN"/>
        </w:rPr>
        <w:t>份。</w:t>
      </w:r>
    </w:p>
    <w:p w14:paraId="0476521D">
      <w:pPr>
        <w:tabs>
          <w:tab w:val="left" w:pos="8391"/>
        </w:tabs>
        <w:spacing w:line="360" w:lineRule="auto"/>
        <w:ind w:right="-69" w:firstLine="400" w:firstLineChars="200"/>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3、合同经甲乙双方盖章、签字后生效，合同签订地点为</w:t>
      </w:r>
      <w:r>
        <w:rPr>
          <w:rFonts w:hint="eastAsia" w:asciiTheme="minorEastAsia" w:hAnsiTheme="minorEastAsia"/>
          <w:sz w:val="20"/>
          <w:szCs w:val="20"/>
          <w:highlight w:val="none"/>
          <w:u w:val="single"/>
          <w:lang w:eastAsia="zh-CN"/>
        </w:rPr>
        <w:t xml:space="preserve">   </w:t>
      </w:r>
      <w:r>
        <w:rPr>
          <w:rFonts w:hint="eastAsia" w:asciiTheme="minorEastAsia" w:hAnsiTheme="minorEastAsia"/>
          <w:sz w:val="20"/>
          <w:szCs w:val="20"/>
          <w:highlight w:val="none"/>
          <w:lang w:eastAsia="zh-CN"/>
        </w:rPr>
        <w:t>。</w:t>
      </w:r>
    </w:p>
    <w:p w14:paraId="43DE7132">
      <w:pPr>
        <w:tabs>
          <w:tab w:val="left" w:pos="8391"/>
        </w:tabs>
        <w:spacing w:line="360" w:lineRule="auto"/>
        <w:ind w:right="-69" w:firstLine="400" w:firstLineChars="200"/>
        <w:textAlignment w:val="bottom"/>
        <w:rPr>
          <w:rFonts w:asciiTheme="minorEastAsia" w:hAnsiTheme="minorEastAsia"/>
          <w:sz w:val="20"/>
          <w:szCs w:val="20"/>
          <w:highlight w:val="none"/>
        </w:rPr>
      </w:pPr>
      <w:r>
        <w:rPr>
          <w:rFonts w:hint="eastAsia" w:asciiTheme="minorEastAsia" w:hAnsiTheme="minorEastAsia"/>
          <w:sz w:val="20"/>
          <w:szCs w:val="20"/>
          <w:highlight w:val="none"/>
        </w:rPr>
        <w:t>4、生效时间：</w:t>
      </w:r>
      <w:r>
        <w:rPr>
          <w:rFonts w:hint="eastAsia" w:asciiTheme="minorEastAsia" w:hAnsiTheme="minorEastAsia"/>
          <w:sz w:val="20"/>
          <w:szCs w:val="20"/>
          <w:highlight w:val="none"/>
          <w:u w:val="single"/>
        </w:rPr>
        <w:t xml:space="preserve">   </w:t>
      </w:r>
      <w:r>
        <w:rPr>
          <w:rFonts w:hint="eastAsia" w:asciiTheme="minorEastAsia" w:hAnsiTheme="minorEastAsia"/>
          <w:sz w:val="20"/>
          <w:szCs w:val="20"/>
          <w:highlight w:val="none"/>
        </w:rPr>
        <w:t>年</w:t>
      </w:r>
      <w:r>
        <w:rPr>
          <w:rFonts w:hint="eastAsia" w:asciiTheme="minorEastAsia" w:hAnsiTheme="minorEastAsia"/>
          <w:sz w:val="20"/>
          <w:szCs w:val="20"/>
          <w:highlight w:val="none"/>
          <w:u w:val="single"/>
        </w:rPr>
        <w:t xml:space="preserve">  </w:t>
      </w:r>
      <w:r>
        <w:rPr>
          <w:rFonts w:hint="eastAsia" w:asciiTheme="minorEastAsia" w:hAnsiTheme="minorEastAsia"/>
          <w:sz w:val="20"/>
          <w:szCs w:val="20"/>
          <w:highlight w:val="none"/>
        </w:rPr>
        <w:t>月</w:t>
      </w:r>
      <w:r>
        <w:rPr>
          <w:rFonts w:hint="eastAsia" w:asciiTheme="minorEastAsia" w:hAnsiTheme="minorEastAsia"/>
          <w:sz w:val="20"/>
          <w:szCs w:val="20"/>
          <w:highlight w:val="none"/>
          <w:u w:val="single"/>
        </w:rPr>
        <w:t xml:space="preserve">  </w:t>
      </w:r>
      <w:r>
        <w:rPr>
          <w:rFonts w:hint="eastAsia" w:asciiTheme="minorEastAsia" w:hAnsiTheme="minorEastAsia"/>
          <w:sz w:val="20"/>
          <w:szCs w:val="20"/>
          <w:highlight w:val="none"/>
        </w:rPr>
        <w:t>日</w:t>
      </w:r>
    </w:p>
    <w:p w14:paraId="78106EAE">
      <w:pPr>
        <w:tabs>
          <w:tab w:val="left" w:pos="8391"/>
        </w:tabs>
        <w:spacing w:line="360" w:lineRule="auto"/>
        <w:ind w:right="-69" w:firstLine="700" w:firstLineChars="350"/>
        <w:textAlignment w:val="bottom"/>
        <w:rPr>
          <w:rFonts w:asciiTheme="minorEastAsia" w:hAnsiTheme="minorEastAsia"/>
          <w:sz w:val="20"/>
          <w:szCs w:val="20"/>
          <w:highlight w:val="none"/>
        </w:rPr>
      </w:pPr>
    </w:p>
    <w:tbl>
      <w:tblPr>
        <w:tblStyle w:val="2"/>
        <w:tblW w:w="0" w:type="auto"/>
        <w:jc w:val="center"/>
        <w:tblLayout w:type="fixed"/>
        <w:tblCellMar>
          <w:top w:w="0" w:type="dxa"/>
          <w:left w:w="108" w:type="dxa"/>
          <w:bottom w:w="0" w:type="dxa"/>
          <w:right w:w="108" w:type="dxa"/>
        </w:tblCellMar>
      </w:tblPr>
      <w:tblGrid>
        <w:gridCol w:w="4643"/>
        <w:gridCol w:w="4643"/>
      </w:tblGrid>
      <w:tr w14:paraId="13E3B35C">
        <w:tblPrEx>
          <w:tblCellMar>
            <w:top w:w="0" w:type="dxa"/>
            <w:left w:w="108" w:type="dxa"/>
            <w:bottom w:w="0" w:type="dxa"/>
            <w:right w:w="108" w:type="dxa"/>
          </w:tblCellMar>
        </w:tblPrEx>
        <w:trPr>
          <w:jc w:val="center"/>
        </w:trPr>
        <w:tc>
          <w:tcPr>
            <w:tcW w:w="4643" w:type="dxa"/>
          </w:tcPr>
          <w:p w14:paraId="1A94D240">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甲方名称</w:t>
            </w:r>
            <w:r>
              <w:rPr>
                <w:rFonts w:hint="eastAsia" w:asciiTheme="minorEastAsia" w:hAnsiTheme="minorEastAsia"/>
                <w:spacing w:val="-20"/>
                <w:sz w:val="20"/>
                <w:szCs w:val="20"/>
                <w:highlight w:val="none"/>
                <w:lang w:eastAsia="zh-CN"/>
              </w:rPr>
              <w:t>（盖章）</w:t>
            </w:r>
            <w:r>
              <w:rPr>
                <w:rFonts w:hint="eastAsia" w:asciiTheme="minorEastAsia" w:hAnsiTheme="minorEastAsia"/>
                <w:sz w:val="20"/>
                <w:szCs w:val="20"/>
                <w:highlight w:val="none"/>
                <w:lang w:eastAsia="zh-CN"/>
              </w:rPr>
              <w:t>:</w:t>
            </w:r>
          </w:p>
          <w:p w14:paraId="69A5CCD5">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地址：</w:t>
            </w:r>
          </w:p>
          <w:p w14:paraId="11775A09">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代表人（签字）：</w:t>
            </w:r>
          </w:p>
          <w:p w14:paraId="19B98289">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电话：</w:t>
            </w:r>
          </w:p>
          <w:p w14:paraId="4B0C7A12">
            <w:pPr>
              <w:spacing w:line="360" w:lineRule="auto"/>
              <w:ind w:right="-154"/>
              <w:textAlignment w:val="bottom"/>
              <w:rPr>
                <w:rFonts w:asciiTheme="minorEastAsia" w:hAnsiTheme="minorEastAsia"/>
                <w:sz w:val="20"/>
                <w:szCs w:val="20"/>
                <w:highlight w:val="none"/>
              </w:rPr>
            </w:pPr>
            <w:r>
              <w:rPr>
                <w:rFonts w:hint="eastAsia" w:asciiTheme="minorEastAsia" w:hAnsiTheme="minorEastAsia"/>
                <w:sz w:val="20"/>
                <w:szCs w:val="20"/>
                <w:highlight w:val="none"/>
              </w:rPr>
              <w:t>开户银行：</w:t>
            </w:r>
          </w:p>
          <w:p w14:paraId="35B4EB75">
            <w:pPr>
              <w:spacing w:line="360" w:lineRule="auto"/>
              <w:ind w:right="-154"/>
              <w:textAlignment w:val="bottom"/>
              <w:rPr>
                <w:rFonts w:asciiTheme="minorEastAsia" w:hAnsiTheme="minorEastAsia"/>
                <w:sz w:val="20"/>
                <w:szCs w:val="20"/>
                <w:highlight w:val="none"/>
              </w:rPr>
            </w:pPr>
            <w:r>
              <w:rPr>
                <w:rFonts w:hint="eastAsia" w:asciiTheme="minorEastAsia" w:hAnsiTheme="minorEastAsia"/>
                <w:sz w:val="20"/>
                <w:szCs w:val="20"/>
                <w:highlight w:val="none"/>
              </w:rPr>
              <w:t>帐号：</w:t>
            </w:r>
          </w:p>
        </w:tc>
        <w:tc>
          <w:tcPr>
            <w:tcW w:w="4643" w:type="dxa"/>
          </w:tcPr>
          <w:p w14:paraId="6E36CACA">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乙方名称</w:t>
            </w:r>
            <w:r>
              <w:rPr>
                <w:rFonts w:hint="eastAsia" w:asciiTheme="minorEastAsia" w:hAnsiTheme="minorEastAsia"/>
                <w:spacing w:val="-20"/>
                <w:sz w:val="20"/>
                <w:szCs w:val="20"/>
                <w:highlight w:val="none"/>
                <w:lang w:eastAsia="zh-CN"/>
              </w:rPr>
              <w:t>（盖章）</w:t>
            </w:r>
            <w:r>
              <w:rPr>
                <w:rFonts w:hint="eastAsia" w:asciiTheme="minorEastAsia" w:hAnsiTheme="minorEastAsia"/>
                <w:sz w:val="20"/>
                <w:szCs w:val="20"/>
                <w:highlight w:val="none"/>
                <w:lang w:eastAsia="zh-CN"/>
              </w:rPr>
              <w:t>:</w:t>
            </w:r>
          </w:p>
          <w:p w14:paraId="6AC6B109">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地址：</w:t>
            </w:r>
          </w:p>
          <w:p w14:paraId="04371A34">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代表人（签字）：</w:t>
            </w:r>
          </w:p>
          <w:p w14:paraId="7EE270C3">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电话：</w:t>
            </w:r>
          </w:p>
          <w:p w14:paraId="1563A5FF">
            <w:pPr>
              <w:spacing w:line="360" w:lineRule="auto"/>
              <w:ind w:right="-154"/>
              <w:textAlignment w:val="bottom"/>
              <w:rPr>
                <w:rFonts w:asciiTheme="minorEastAsia" w:hAnsiTheme="minorEastAsia"/>
                <w:sz w:val="20"/>
                <w:szCs w:val="20"/>
                <w:highlight w:val="none"/>
              </w:rPr>
            </w:pPr>
            <w:r>
              <w:rPr>
                <w:rFonts w:hint="eastAsia" w:asciiTheme="minorEastAsia" w:hAnsiTheme="minorEastAsia"/>
                <w:sz w:val="20"/>
                <w:szCs w:val="20"/>
                <w:highlight w:val="none"/>
              </w:rPr>
              <w:t>开户银行：</w:t>
            </w:r>
          </w:p>
          <w:p w14:paraId="303C9F48">
            <w:pPr>
              <w:spacing w:line="360" w:lineRule="auto"/>
              <w:ind w:right="-154"/>
              <w:textAlignment w:val="bottom"/>
              <w:rPr>
                <w:rFonts w:asciiTheme="minorEastAsia" w:hAnsiTheme="minorEastAsia"/>
                <w:sz w:val="20"/>
                <w:szCs w:val="20"/>
                <w:highlight w:val="none"/>
              </w:rPr>
            </w:pPr>
            <w:r>
              <w:rPr>
                <w:rFonts w:hint="eastAsia" w:asciiTheme="minorEastAsia" w:hAnsiTheme="minorEastAsia"/>
                <w:sz w:val="20"/>
                <w:szCs w:val="20"/>
                <w:highlight w:val="none"/>
              </w:rPr>
              <w:t>帐号：</w:t>
            </w:r>
          </w:p>
        </w:tc>
      </w:tr>
    </w:tbl>
    <w:p w14:paraId="4D987684">
      <w:pPr>
        <w:rPr>
          <w:highlight w:val="none"/>
        </w:rPr>
      </w:pPr>
    </w:p>
    <w:bookmarkEnd w:id="1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857391"/>
    <w:multiLevelType w:val="singleLevel"/>
    <w:tmpl w:val="1D8573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E573E"/>
    <w:rsid w:val="4BFC6DCF"/>
    <w:rsid w:val="532416F6"/>
    <w:rsid w:val="5DC918C4"/>
    <w:rsid w:val="6CCB1C56"/>
    <w:rsid w:val="6FBB5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2403</Words>
  <Characters>2454</Characters>
  <Lines>0</Lines>
  <Paragraphs>0</Paragraphs>
  <TotalTime>0</TotalTime>
  <ScaleCrop>false</ScaleCrop>
  <LinksUpToDate>false</LinksUpToDate>
  <CharactersWithSpaces>2509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2025-06-04T00:55:00Z</dcterms:created>
  <dc:creator>Administrator</dc:creator>
  <cp:lastModifiedBy>℡Autism ミ</cp:lastModifiedBy>
  <dcterms:modified xsi:type="dcterms:W3CDTF">2025-06-04T06:10:35Z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eyJoZGlkIjoiZjczNTA5NDY0Y2QwZDA5NjI1OTA5Nzc3Y2MwNmFkOGQiLCJ1c2VySWQiOiIzODE5MDc1NjQifQ==</vt:lpwstr>
  </property>
  <property fmtid="{D5CDD505-2E9C-101B-9397-08002B2CF9AE}" pid="4" name="ICV">
    <vt:lpwstr>60E917CE33CD44B7ABEEB78CD9469F63_12</vt:lpwstr>
  </property>
</Properties>
</file>