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版本号：SXGLZFCG2025-033号20250710001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锦绣园管网改造及换热站更新项目代建服务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SXGLZFCG2025-033号</w:t>
      </w:r>
      <w:r>
        <w:br/>
      </w:r>
      <w:r>
        <w:br/>
      </w:r>
      <w:r>
        <w:br/>
      </w:r>
    </w:p>
    <w:p>
      <w:pPr>
        <w:pStyle w:val="null3"/>
        <w:jc w:val="center"/>
        <w:outlineLvl w:val="2"/>
      </w:pPr>
      <w:r>
        <w:rPr>
          <w:rFonts w:ascii="仿宋_GB2312" w:hAnsi="仿宋_GB2312" w:cs="仿宋_GB2312" w:eastAsia="仿宋_GB2312"/>
          <w:sz w:val="28"/>
          <w:b/>
        </w:rPr>
        <w:t>铜川市保障性住房管理中心</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铜川市保障性住房管理中心</w:t>
      </w:r>
      <w:r>
        <w:rPr>
          <w:rFonts w:ascii="仿宋_GB2312" w:hAnsi="仿宋_GB2312" w:cs="仿宋_GB2312" w:eastAsia="仿宋_GB2312"/>
        </w:rPr>
        <w:t>委托，拟对</w:t>
      </w:r>
      <w:r>
        <w:rPr>
          <w:rFonts w:ascii="仿宋_GB2312" w:hAnsi="仿宋_GB2312" w:cs="仿宋_GB2312" w:eastAsia="仿宋_GB2312"/>
        </w:rPr>
        <w:t>锦绣园管网改造及换热站更新项目代建服务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SXGLZFCG2025-033号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锦绣园管网改造及换热站更新项目代建服务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对锦绣园小区室外采暖管道、给水管道、雨水管道、污水管道及楼内给水管道、采暖管道，换热站、强排系统、消防系统等进行改造。改造室外采暖管道17534.1米、给水管道15789.51米、雨水管道5810.9米、污水管道19727.3米。改造楼内给水管道5376米、采暖管道14880米，改造换热站3个、消防管道1634米，路面破除及恢复63000平方米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采购包1（锦绣园管网改造及换热站更新项目代建服务）：属于专门面向中小企业采购。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1、合格供应商：具有独立承担民事责任能力的法人、其他组织或自然人，并出具合法有效的营业执照或事业单位法人证书等国家规定的相关证明，自然人参与的提供其身份证明；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2、授权委托书：法定代表人参加会议时，提供本人身份证；授权代表参加会议时，提供法定代表人授权书和被授权人身份证；</w:t>
      </w:r>
    </w:p>
    <w:p>
      <w:pPr>
        <w:pStyle w:val="null3"/>
      </w:pPr>
      <w:r>
        <w:rPr>
          <w:rFonts w:ascii="仿宋_GB2312" w:hAnsi="仿宋_GB2312" w:cs="仿宋_GB2312" w:eastAsia="仿宋_GB2312"/>
        </w:rPr>
        <w:t>3、供应商信誉：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4、无重大违法记录声明：参加政府采购活动近三年内，在经营活动中没有重大违法记录，提供书面声明；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铜川市保障性住房管理中心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铜川市朝阳路6号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铜川市保障性住房管理中心经办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0919-2320188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陕西省铜川市王益区七一路25号工行3楼313室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铜川市保障性住房管理中心</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铜川市保障性住房管理中心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铜川市保障性住房管理中心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（一）按国家现行项目实施规范和合同规定的验收评定标准等要求进行验收。 （二）验收依据 1、本项目竞争性磋商文件、响应文件； 2、本合同及附件文本； 3、合同签订时国家及行业现行的标准和技术规范。 4、供应商应向采购人提交项目实施过程中的所有资料，以便采购人日后管理和维护。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地址：陕西省铜川市王益区七一路25号工行3楼313室</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锦绣园管网改造及换热站更新项目从项目立项开始至项目竣工结算之日止的全过程代建服务，对项目建设的全过程进行建设管理，包括但不限于以下内容：项目的立项、招标、设计、工程概预算、监理、施工、设施设备采购、验收、工程结算、移交、保修等项目实施过程管理及开展项目有关手续的报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1,010,000.00</w:t>
      </w:r>
    </w:p>
    <w:p>
      <w:pPr>
        <w:pStyle w:val="null3"/>
      </w:pPr>
      <w:r>
        <w:rPr>
          <w:rFonts w:ascii="仿宋_GB2312" w:hAnsi="仿宋_GB2312" w:cs="仿宋_GB2312" w:eastAsia="仿宋_GB2312"/>
        </w:rPr>
        <w:t>采购包最高限价（元）: 1,010,000.00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代建服务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标的名称：代建服务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主要对锦绣园小区室外采暖管道、给水管道、雨水管道、污水管道及楼内给水管道、采暖管道，换热站、强排系统、消防系统等进行改造。改造室外采暖管道</w:t>
            </w:r>
            <w:r>
              <w:rPr>
                <w:rFonts w:ascii="仿宋_GB2312" w:hAnsi="仿宋_GB2312" w:cs="仿宋_GB2312" w:eastAsia="仿宋_GB2312"/>
                <w:sz w:val="21"/>
              </w:rPr>
              <w:t>17534.1米、给水管道15789.51米、雨水管道5810.9米、污水管道19727.3米。改造楼内给水管道5376米、采暖管道14880米，改造换热站3个、消防管道1634米，路面破除及恢复63000平方米等。</w:t>
            </w:r>
          </w:p>
          <w:p>
            <w:pPr>
              <w:pStyle w:val="null3"/>
              <w:ind w:firstLine="420"/>
              <w:jc w:val="both"/>
            </w:pPr>
            <w:r>
              <w:rPr>
                <w:rFonts w:ascii="仿宋_GB2312" w:hAnsi="仿宋_GB2312" w:cs="仿宋_GB2312" w:eastAsia="仿宋_GB2312"/>
                <w:sz w:val="21"/>
              </w:rPr>
              <w:t>二、服务内容</w:t>
            </w:r>
          </w:p>
          <w:p>
            <w:pPr>
              <w:pStyle w:val="null3"/>
              <w:ind w:firstLine="420"/>
              <w:jc w:val="both"/>
            </w:pPr>
            <w:r>
              <w:rPr>
                <w:rFonts w:ascii="仿宋_GB2312" w:hAnsi="仿宋_GB2312" w:cs="仿宋_GB2312" w:eastAsia="仿宋_GB2312"/>
                <w:sz w:val="21"/>
              </w:rPr>
              <w:t>锦绣园管网改造及换热站更新项目从项目立项开始至项目竣工结算之日止的全过程代建服务，对项目建设的全过程进行建设管理，包括但不限于以下内容：项目的立项、招标、设计、工程概预算、监理、施工、设施设备采购、验收、工程结算、移交、保修等项目实施过程管理及开展项目有关手续的报审工作；</w:t>
            </w:r>
          </w:p>
          <w:p>
            <w:pPr>
              <w:pStyle w:val="null3"/>
              <w:ind w:firstLine="420"/>
              <w:jc w:val="both"/>
            </w:pPr>
            <w:r>
              <w:rPr>
                <w:rFonts w:ascii="仿宋_GB2312" w:hAnsi="仿宋_GB2312" w:cs="仿宋_GB2312" w:eastAsia="仿宋_GB2312"/>
                <w:sz w:val="21"/>
              </w:rPr>
              <w:t>三、服务期限</w:t>
            </w:r>
          </w:p>
          <w:p>
            <w:pPr>
              <w:pStyle w:val="null3"/>
              <w:ind w:firstLine="420"/>
              <w:jc w:val="both"/>
            </w:pPr>
            <w:r>
              <w:rPr>
                <w:rFonts w:ascii="仿宋_GB2312" w:hAnsi="仿宋_GB2312" w:cs="仿宋_GB2312" w:eastAsia="仿宋_GB2312"/>
                <w:sz w:val="21"/>
              </w:rPr>
              <w:t>合同签订之日起至项目竣工结算之日止的全过程代建服务</w:t>
            </w:r>
          </w:p>
          <w:p>
            <w:pPr>
              <w:pStyle w:val="null3"/>
              <w:ind w:firstLine="420"/>
              <w:jc w:val="both"/>
            </w:pPr>
            <w:r>
              <w:rPr>
                <w:rFonts w:ascii="仿宋_GB2312" w:hAnsi="仿宋_GB2312" w:cs="仿宋_GB2312" w:eastAsia="仿宋_GB2312"/>
                <w:sz w:val="21"/>
              </w:rPr>
              <w:t>四、服务标准</w:t>
            </w:r>
          </w:p>
          <w:p>
            <w:pPr>
              <w:pStyle w:val="null3"/>
              <w:ind w:firstLine="420"/>
              <w:jc w:val="both"/>
            </w:pPr>
            <w:r>
              <w:rPr>
                <w:rFonts w:ascii="仿宋_GB2312" w:hAnsi="仿宋_GB2312" w:cs="仿宋_GB2312" w:eastAsia="仿宋_GB2312"/>
                <w:sz w:val="21"/>
              </w:rPr>
              <w:t>1、项目建设过程中严格执行国家、省、市规定的标准、政策和现行技术规范、规程要求。</w:t>
            </w:r>
          </w:p>
          <w:p>
            <w:pPr>
              <w:pStyle w:val="null3"/>
              <w:ind w:firstLine="420"/>
              <w:jc w:val="both"/>
            </w:pPr>
            <w:r>
              <w:rPr>
                <w:rFonts w:ascii="仿宋_GB2312" w:hAnsi="仿宋_GB2312" w:cs="仿宋_GB2312" w:eastAsia="仿宋_GB2312"/>
                <w:sz w:val="21"/>
              </w:rPr>
              <w:t>2、保证工程进度、满足工程质量、安全生产、治污减霾等达标、制定工程进度、安全生产等管理应急预案，确保目标实现。</w:t>
            </w:r>
          </w:p>
          <w:p>
            <w:pPr>
              <w:pStyle w:val="null3"/>
              <w:ind w:firstLine="420"/>
              <w:jc w:val="both"/>
            </w:pPr>
            <w:r>
              <w:rPr>
                <w:rFonts w:ascii="仿宋_GB2312" w:hAnsi="仿宋_GB2312" w:cs="仿宋_GB2312" w:eastAsia="仿宋_GB2312"/>
                <w:sz w:val="21"/>
              </w:rPr>
              <w:t>3、在项目代建期，遵守国家有关法律、法规、维护采购人(建设单位)方的合法权益。严格按照政府关于工程建设的规定和制度履行职责，接受相关主管部门的监督，并承担相应的责任。</w:t>
            </w:r>
          </w:p>
          <w:p>
            <w:pPr>
              <w:pStyle w:val="null3"/>
              <w:ind w:firstLine="420"/>
              <w:jc w:val="both"/>
            </w:pPr>
            <w:r>
              <w:rPr>
                <w:rFonts w:ascii="仿宋_GB2312" w:hAnsi="仿宋_GB2312" w:cs="仿宋_GB2312" w:eastAsia="仿宋_GB2312"/>
                <w:sz w:val="21"/>
              </w:rPr>
              <w:t>五、服务要求</w:t>
            </w:r>
          </w:p>
          <w:p>
            <w:pPr>
              <w:pStyle w:val="null3"/>
              <w:ind w:firstLine="420"/>
              <w:jc w:val="both"/>
            </w:pPr>
            <w:r>
              <w:rPr>
                <w:rFonts w:ascii="仿宋_GB2312" w:hAnsi="仿宋_GB2312" w:cs="仿宋_GB2312" w:eastAsia="仿宋_GB2312"/>
                <w:sz w:val="21"/>
              </w:rPr>
              <w:t>1、标准责任目标</w:t>
            </w:r>
          </w:p>
          <w:p>
            <w:pPr>
              <w:pStyle w:val="null3"/>
              <w:ind w:firstLine="420"/>
              <w:jc w:val="both"/>
            </w:pPr>
            <w:r>
              <w:rPr>
                <w:rFonts w:ascii="仿宋_GB2312" w:hAnsi="仿宋_GB2312" w:cs="仿宋_GB2312" w:eastAsia="仿宋_GB2312"/>
                <w:sz w:val="21"/>
              </w:rPr>
              <w:t>协助采购人</w:t>
            </w:r>
            <w:r>
              <w:rPr>
                <w:rFonts w:ascii="仿宋_GB2312" w:hAnsi="仿宋_GB2312" w:cs="仿宋_GB2312" w:eastAsia="仿宋_GB2312"/>
                <w:sz w:val="21"/>
              </w:rPr>
              <w:t>(建设单位)严格控制工程建设的投资和标准，按照既定目标和标准完成建设项目。</w:t>
            </w:r>
          </w:p>
          <w:p>
            <w:pPr>
              <w:pStyle w:val="null3"/>
              <w:ind w:firstLine="420"/>
              <w:jc w:val="both"/>
            </w:pPr>
            <w:r>
              <w:rPr>
                <w:rFonts w:ascii="仿宋_GB2312" w:hAnsi="仿宋_GB2312" w:cs="仿宋_GB2312" w:eastAsia="仿宋_GB2312"/>
                <w:sz w:val="21"/>
              </w:rPr>
              <w:t>2、建设工期责任目标</w:t>
            </w:r>
          </w:p>
          <w:p>
            <w:pPr>
              <w:pStyle w:val="null3"/>
              <w:ind w:firstLine="420"/>
              <w:jc w:val="both"/>
            </w:pPr>
            <w:r>
              <w:rPr>
                <w:rFonts w:ascii="仿宋_GB2312" w:hAnsi="仿宋_GB2312" w:cs="仿宋_GB2312" w:eastAsia="仿宋_GB2312"/>
                <w:sz w:val="21"/>
              </w:rPr>
              <w:t>协助采购人</w:t>
            </w:r>
            <w:r>
              <w:rPr>
                <w:rFonts w:ascii="仿宋_GB2312" w:hAnsi="仿宋_GB2312" w:cs="仿宋_GB2312" w:eastAsia="仿宋_GB2312"/>
                <w:sz w:val="21"/>
              </w:rPr>
              <w:t>(建设单位)建设工期严格控制在建设合同工期内</w:t>
            </w:r>
          </w:p>
          <w:p>
            <w:pPr>
              <w:pStyle w:val="null3"/>
              <w:ind w:firstLine="420"/>
              <w:jc w:val="both"/>
            </w:pPr>
            <w:r>
              <w:rPr>
                <w:rFonts w:ascii="仿宋_GB2312" w:hAnsi="仿宋_GB2312" w:cs="仿宋_GB2312" w:eastAsia="仿宋_GB2312"/>
                <w:sz w:val="21"/>
              </w:rPr>
              <w:t>3、工程质量责任目标</w:t>
            </w:r>
          </w:p>
          <w:p>
            <w:pPr>
              <w:pStyle w:val="null3"/>
              <w:ind w:firstLine="420"/>
              <w:jc w:val="both"/>
            </w:pPr>
            <w:r>
              <w:rPr>
                <w:rFonts w:ascii="仿宋_GB2312" w:hAnsi="仿宋_GB2312" w:cs="仿宋_GB2312" w:eastAsia="仿宋_GB2312"/>
                <w:sz w:val="21"/>
              </w:rPr>
              <w:t>协助采购人</w:t>
            </w:r>
            <w:r>
              <w:rPr>
                <w:rFonts w:ascii="仿宋_GB2312" w:hAnsi="仿宋_GB2312" w:cs="仿宋_GB2312" w:eastAsia="仿宋_GB2312"/>
                <w:sz w:val="21"/>
              </w:rPr>
              <w:t>(建设单位)按国家有关规定、规范组织建设，工程质量达到规定的工程施工质量验收标准和检验评定标准；</w:t>
            </w:r>
          </w:p>
          <w:p>
            <w:pPr>
              <w:pStyle w:val="null3"/>
              <w:ind w:firstLine="420"/>
              <w:jc w:val="both"/>
            </w:pPr>
            <w:r>
              <w:rPr>
                <w:rFonts w:ascii="仿宋_GB2312" w:hAnsi="仿宋_GB2312" w:cs="仿宋_GB2312" w:eastAsia="仿宋_GB2312"/>
                <w:sz w:val="21"/>
              </w:rPr>
              <w:t>4、建设安全责任目标</w:t>
            </w:r>
          </w:p>
          <w:p>
            <w:pPr>
              <w:pStyle w:val="null3"/>
              <w:ind w:firstLine="420"/>
              <w:jc w:val="both"/>
            </w:pPr>
            <w:r>
              <w:rPr>
                <w:rFonts w:ascii="仿宋_GB2312" w:hAnsi="仿宋_GB2312" w:cs="仿宋_GB2312" w:eastAsia="仿宋_GB2312"/>
                <w:sz w:val="21"/>
              </w:rPr>
              <w:t>(1)协助管理建设工程无安全责任事故，成交供应商严格监督工程建设各方严格落实工程安全管理制度；</w:t>
            </w:r>
          </w:p>
          <w:p>
            <w:pPr>
              <w:pStyle w:val="null3"/>
              <w:ind w:firstLine="420"/>
              <w:jc w:val="both"/>
            </w:pPr>
            <w:r>
              <w:rPr>
                <w:rFonts w:ascii="仿宋_GB2312" w:hAnsi="仿宋_GB2312" w:cs="仿宋_GB2312" w:eastAsia="仿宋_GB2312"/>
                <w:sz w:val="21"/>
              </w:rPr>
              <w:t>(2)督促各方严格执行《安全生产法》、《建设工程安全产管理条例》和其他有关安全生产的法规，以及保障安全生产的有关规章、规定和标准，加强建设项目安全管理，监督检查承包人落实安全生产措施。</w:t>
            </w:r>
          </w:p>
          <w:p>
            <w:pPr>
              <w:pStyle w:val="null3"/>
              <w:ind w:firstLine="420"/>
              <w:jc w:val="both"/>
            </w:pPr>
            <w:r>
              <w:rPr>
                <w:rFonts w:ascii="仿宋_GB2312" w:hAnsi="仿宋_GB2312" w:cs="仿宋_GB2312" w:eastAsia="仿宋_GB2312"/>
                <w:sz w:val="21"/>
              </w:rPr>
              <w:t>5、建设行为责任目标</w:t>
            </w:r>
          </w:p>
          <w:p>
            <w:pPr>
              <w:pStyle w:val="null3"/>
              <w:ind w:firstLine="420"/>
              <w:jc w:val="both"/>
            </w:pPr>
            <w:r>
              <w:rPr>
                <w:rFonts w:ascii="仿宋_GB2312" w:hAnsi="仿宋_GB2312" w:cs="仿宋_GB2312" w:eastAsia="仿宋_GB2312"/>
                <w:sz w:val="21"/>
              </w:rPr>
              <w:t>(1)遵守国家关于市场准入、项目招标投标、工程建设、工程监理和市场活动等有关法律、法规及相关政策；严格执行建设工程合同、协议文件，自觉按合同办事；各项业务坚持公开、公正、诚信的原则，不得违反工程建设管理、施工安装、工程监理、 建设管理等规章制度。</w:t>
            </w:r>
          </w:p>
          <w:p>
            <w:pPr>
              <w:pStyle w:val="null3"/>
              <w:ind w:firstLine="420"/>
              <w:jc w:val="both"/>
            </w:pPr>
            <w:r>
              <w:rPr>
                <w:rFonts w:ascii="仿宋_GB2312" w:hAnsi="仿宋_GB2312" w:cs="仿宋_GB2312" w:eastAsia="仿宋_GB2312"/>
                <w:sz w:val="21"/>
              </w:rPr>
              <w:t>(2)建设管理全过程公开透明，杜绝暗箱操作，建设廉洁、优质、高效工程，预防腐败， 杜绝各类违法、违纪行为发生，加强项目管理和廉政建设，严格执行财务管理有关规定，做好建设项目协调工作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根据项目实施内容配置相应的人员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根据项目实施内容配置相应的设施设备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为顺利推进政府采购电子化交易平台试点应用工作，供应商需要在线提交所有通过电子化交易平台实施的政府采购项目的竞争性磋商响应文件，同时，于开标前线下提交竞争性磋商响应文件纸质版正本一份，副本一份，电子U盘一份。竞争性磋商响应文件纸质版正本、副本与电子版一同密封，且在封袋正面标明“竞争性磋商响应文件纸质版”字样。封袋应加贴封条，并在封线处加盖供应商公章，封袋正面要粘贴供应商全称、项目名称、编号等标识。若电子竞争性磋商响应文件与纸质竞争性磋商响应文件不一致的，以电子竞争性磋商响应文件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合同签订之日起至项目竣工结算之日止的全过程代建服务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（一）按国家现行项目实施规范和合同规定的验收评定标准等要求进行验收。 （二）验收依据 1、本项目竞争性磋商文件、响应文件； 2、本合同及附件文本； 3、合同签订时国家及行业现行的标准和技术规范。 4、供应商应向采购人提交项目实施过程中的所有资料，以便采购人日后管理和维护。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施工进度达到80%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项目竣工结算后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未按合同或竞争性磋商文件要求提供服务质量不能满足采购人技术要求，采购人有权终止合同，并对供应商违约行为进行追究。具体违约情况及解决方法以实际签订合同为准。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合格供应商</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法定代表人参加会议时，提供本人身份证；授权代表参加会议时，提供法定代表人授权书和被授权人身份证；</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 陕西省政府采购拒绝贿赂承诺书.docx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供应商应提交的相关资格证明材料.docx 陕西省政府采购拒绝贿赂承诺书.docx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响应文件格式、签署盖章</w:t>
            </w:r>
          </w:p>
        </w:tc>
        <w:tc>
          <w:tcPr>
            <w:tcW w:type="dxa" w:w="3322"/>
          </w:tcPr>
          <w:p>
            <w:pPr>
              <w:pStyle w:val="null3"/>
            </w:pPr>
            <w:r>
              <w:rPr>
                <w:rFonts w:ascii="仿宋_GB2312" w:hAnsi="仿宋_GB2312" w:cs="仿宋_GB2312" w:eastAsia="仿宋_GB2312"/>
              </w:rPr>
              <w:t>应满足磋商文件格式要求</w:t>
            </w:r>
          </w:p>
        </w:tc>
        <w:tc>
          <w:tcPr>
            <w:tcW w:type="dxa" w:w="1661"/>
          </w:tcPr>
          <w:p>
            <w:pPr>
              <w:pStyle w:val="null3"/>
            </w:pPr>
            <w:r>
              <w:rPr>
                <w:rFonts w:ascii="仿宋_GB2312" w:hAnsi="仿宋_GB2312" w:cs="仿宋_GB2312" w:eastAsia="仿宋_GB2312"/>
              </w:rPr>
              <w:t>服务内容及服务邀请应答表 中小企业声明函 商务应答表 报价表 其他说明.docx 响应文件封面 法定代表人身份证明书.docx 供应商应提交的相关资格证明材料.docx 残疾人福利性单位声明函 陕西省政府采购拒绝贿赂承诺书.docx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各供应商响应文件所报的报价金额必须是唯一报价，不得出现其他金额报价，否则按无效报价对待，其余指标不再评审</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管理目标</w:t>
            </w:r>
          </w:p>
        </w:tc>
        <w:tc>
          <w:tcPr>
            <w:tcW w:type="dxa" w:w="2492"/>
          </w:tcPr>
          <w:p>
            <w:pPr>
              <w:pStyle w:val="null3"/>
            </w:pPr>
            <w:r>
              <w:rPr>
                <w:rFonts w:ascii="仿宋_GB2312" w:hAnsi="仿宋_GB2312" w:cs="仿宋_GB2312" w:eastAsia="仿宋_GB2312"/>
              </w:rPr>
              <w:t>代建管理目标清晰明确、范围全面、内容完整。结合采购人实际情况，突出体现工程特点，能满足项目采购需求得10分；评审内容有缺陷不满足采购需求的扣0.1-5分。未提供方案不得分。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投资成本管理</w:t>
            </w:r>
          </w:p>
        </w:tc>
        <w:tc>
          <w:tcPr>
            <w:tcW w:type="dxa" w:w="2492"/>
          </w:tcPr>
          <w:p>
            <w:pPr>
              <w:pStyle w:val="null3"/>
            </w:pPr>
            <w:r>
              <w:rPr>
                <w:rFonts w:ascii="仿宋_GB2312" w:hAnsi="仿宋_GB2312" w:cs="仿宋_GB2312" w:eastAsia="仿宋_GB2312"/>
              </w:rPr>
              <w:t>投资与成本控制，针对各阶段具有切实承诺、可靠的成本控制措施，成本控制方法，能满足项目采购需求得 10分；评审内容有缺陷不满足采购需求的扣0.1-5分。未提供方案不得分。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进度管理措施</w:t>
            </w:r>
          </w:p>
        </w:tc>
        <w:tc>
          <w:tcPr>
            <w:tcW w:type="dxa" w:w="2492"/>
          </w:tcPr>
          <w:p>
            <w:pPr>
              <w:pStyle w:val="null3"/>
            </w:pPr>
            <w:r>
              <w:rPr>
                <w:rFonts w:ascii="仿宋_GB2312" w:hAnsi="仿宋_GB2312" w:cs="仿宋_GB2312" w:eastAsia="仿宋_GB2312"/>
              </w:rPr>
              <w:t>项目进度计划安排，视项目的具体特点制定行之有效的工期管理、缩短工期措施，计划进度安排合理、工期管理目标明确，能满足项目采购需求得 10分；评审内容有缺陷不满足采购需求的扣0.1-5分。未提供方案不得分。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项目质量管理严格按照强制性规范、具有保证质量的行之有效的措施，能满足项目采购需求得 10分；评审内容有缺陷不满足采购需求的扣0.1-5分。未提供方案不得分。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确保安全管理、环保及职业健康管理，严格按照工程特点，制定相应措施，能满足项目采购需求得 10分；评审内容有缺陷不满足采购需求的扣0.1-5分。未提供方案不得分。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组织协调管理措施</w:t>
            </w:r>
          </w:p>
        </w:tc>
        <w:tc>
          <w:tcPr>
            <w:tcW w:type="dxa" w:w="2492"/>
          </w:tcPr>
          <w:p>
            <w:pPr>
              <w:pStyle w:val="null3"/>
            </w:pPr>
            <w:r>
              <w:rPr>
                <w:rFonts w:ascii="仿宋_GB2312" w:hAnsi="仿宋_GB2312" w:cs="仿宋_GB2312" w:eastAsia="仿宋_GB2312"/>
              </w:rPr>
              <w:t>信息管理与沟通协调，有全面的信息管理措施、具有有效的沟通管理机制 保证项目沟通及信息传递顺畅，能满足项目采购需求得 10分；评审内容有缺陷不满足采购需求的扣0.1-5分。未提供方案不得分。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风险管理</w:t>
            </w:r>
          </w:p>
        </w:tc>
        <w:tc>
          <w:tcPr>
            <w:tcW w:type="dxa" w:w="2492"/>
          </w:tcPr>
          <w:p>
            <w:pPr>
              <w:pStyle w:val="null3"/>
            </w:pPr>
            <w:r>
              <w:rPr>
                <w:rFonts w:ascii="仿宋_GB2312" w:hAnsi="仿宋_GB2312" w:cs="仿宋_GB2312" w:eastAsia="仿宋_GB2312"/>
              </w:rPr>
              <w:t>有详细清晰的全过程风险管理计划及风险管理实施程序，能满足项目采购需求得 10分；评审内容有缺陷不满足采购需求的扣0.1-5分。未提供方案不得分。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保证承诺，包括但不限于服务质量承诺、人员到位、后期服务等方面，承诺内容完善，对所要求内容描述详尽。服务计划及承诺完整可行，保证措施有力，能满足项目采购需求得10分，评审内容有缺陷不满足采购需求的扣0.1-5分。未提供方案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项目验收</w:t>
            </w:r>
          </w:p>
        </w:tc>
        <w:tc>
          <w:tcPr>
            <w:tcW w:type="dxa" w:w="2492"/>
          </w:tcPr>
          <w:p>
            <w:pPr>
              <w:pStyle w:val="null3"/>
            </w:pPr>
            <w:r>
              <w:rPr>
                <w:rFonts w:ascii="仿宋_GB2312" w:hAnsi="仿宋_GB2312" w:cs="仿宋_GB2312" w:eastAsia="仿宋_GB2312"/>
              </w:rPr>
              <w:t>验收配合及移交方案，竣工验收计划全面且程序完善，移交方案完备，能满足项目采购需求得5分；评审内容有缺陷不满足采购需求的扣0.1-3分。未提供方案不得分。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1.经资格及符合性审查合格的磋商响应文件，其磋商报价为有效磋商报价。 2.满足竞争性磋商文件实质性要求且最后报价最低的供应商的价格为磋商基准价，其价格分为满分15分。 3.磋商报价得分=（磋商基准价/磋商评审价）×15的公式计算得分。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详见附件：陕西省政府采购拒绝贿赂承诺书.docx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