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2E867765">
      <w:pPr>
        <w:spacing w:line="360" w:lineRule="auto"/>
        <w:jc w:val="center"/>
        <w:rPr>
          <w:rFonts w:ascii="宋体" w:hAnsi="宋体" w:cs="宋体"/>
        </w:rPr>
      </w:pPr>
      <w:r>
        <w:rPr>
          <w:rFonts w:hint="eastAsia" w:ascii="宋体" w:hAnsi="宋体" w:eastAsia="宋体" w:cs="宋体"/>
          <w:b/>
          <w:bCs/>
          <w:kern w:val="44"/>
          <w:sz w:val="48"/>
          <w:szCs w:val="48"/>
        </w:rPr>
        <w:t>中西医药技信息系统互联互通项目</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bookmarkStart w:id="0" w:name="_GoBack"/>
      <w:bookmarkEnd w:id="0"/>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（示范文本，最终已签订为准）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w:t>
      </w:r>
      <w:r>
        <w:rPr>
          <w:rFonts w:hint="eastAsia" w:ascii="宋体" w:hAnsi="宋体" w:cs="宋体"/>
          <w:b/>
          <w:kern w:val="0"/>
          <w:sz w:val="32"/>
          <w:szCs w:val="32"/>
          <w:lang w:val="en-US" w:eastAsia="zh-CN"/>
        </w:rPr>
        <w:t>五</w:t>
      </w:r>
      <w:r>
        <w:rPr>
          <w:rFonts w:hint="eastAsia" w:ascii="宋体" w:hAnsi="宋体" w:cs="宋体"/>
          <w:b/>
          <w:kern w:val="0"/>
          <w:sz w:val="32"/>
          <w:szCs w:val="32"/>
        </w:rPr>
        <w:t>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800" w:bottom="1440" w:left="1800" w:header="851" w:footer="992" w:gutter="0"/>
          <w:pgNumType w:fmt="decimal"/>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7EA353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w:t>
      </w:r>
      <w:r>
        <w:rPr>
          <w:rFonts w:hint="eastAsia" w:ascii="宋体" w:hAnsi="宋体" w:eastAsia="宋体" w:cs="宋体"/>
          <w:sz w:val="24"/>
          <w:szCs w:val="24"/>
          <w:lang w:eastAsia="zh-CN"/>
        </w:rPr>
        <w:t>行</w:t>
      </w:r>
      <w:r>
        <w:rPr>
          <w:rFonts w:hint="eastAsia" w:ascii="宋体" w:hAnsi="宋体" w:eastAsia="宋体" w:cs="宋体"/>
          <w:sz w:val="24"/>
          <w:szCs w:val="24"/>
        </w:rPr>
        <w:t>期限：</w:t>
      </w:r>
      <w:r>
        <w:rPr>
          <w:rFonts w:hint="eastAsia" w:ascii="宋体" w:hAnsi="宋体" w:eastAsia="宋体" w:cs="宋体"/>
          <w:bCs/>
          <w:sz w:val="24"/>
          <w:szCs w:val="24"/>
          <w:u w:val="single"/>
        </w:rPr>
        <w:t xml:space="preserve">                                    </w:t>
      </w:r>
    </w:p>
    <w:p w14:paraId="27F9BD50">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42EE44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固定总价合同，固定</w:t>
      </w:r>
      <w:r>
        <w:rPr>
          <w:rFonts w:hint="eastAsia" w:ascii="宋体" w:hAnsi="宋体" w:eastAsia="宋体" w:cs="宋体"/>
          <w:sz w:val="24"/>
          <w:szCs w:val="24"/>
        </w:rPr>
        <w:t>总价合同是指本次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管理费、利润、风险、各种税金等一切费用</w:t>
      </w:r>
      <w:r>
        <w:rPr>
          <w:rFonts w:hint="eastAsia" w:ascii="宋体" w:hAnsi="宋体" w:eastAsia="宋体" w:cs="宋体"/>
          <w:bCs/>
          <w:sz w:val="24"/>
          <w:szCs w:val="24"/>
        </w:rPr>
        <w:t>。</w:t>
      </w:r>
    </w:p>
    <w:p w14:paraId="62CE34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5D48D3D8">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四、内容及要求</w:t>
      </w:r>
    </w:p>
    <w:p w14:paraId="203FCA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即交付的服务内容与响应文件、磋商文件等所指明的，或者与本合同所指明的服务内容相一致。（附清单） </w:t>
      </w:r>
    </w:p>
    <w:p w14:paraId="16B28A75">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五、双方的权利和义务</w:t>
      </w:r>
    </w:p>
    <w:p w14:paraId="2107DC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（一）甲方的权利与义务</w:t>
      </w:r>
    </w:p>
    <w:p w14:paraId="581999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（二）乙方的权利与义务</w:t>
      </w:r>
    </w:p>
    <w:p w14:paraId="41277A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六、服务质量保证</w:t>
      </w:r>
    </w:p>
    <w:p w14:paraId="36F9D91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七、知识产权</w:t>
      </w:r>
    </w:p>
    <w:p w14:paraId="60896F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（一）本项目知识产权归乙方所有。</w:t>
      </w:r>
    </w:p>
    <w:p w14:paraId="4D166E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八、保密规定</w:t>
      </w:r>
    </w:p>
    <w:p w14:paraId="40A489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九、其他事项</w:t>
      </w:r>
    </w:p>
    <w:p w14:paraId="338088F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十、验收</w:t>
      </w:r>
    </w:p>
    <w:p w14:paraId="52250B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（三）验收依据：</w:t>
      </w:r>
    </w:p>
    <w:p w14:paraId="44B31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2368C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2.磋商文件、响应文件等；</w:t>
      </w:r>
    </w:p>
    <w:p w14:paraId="432461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2B08C11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十一、违约责任</w:t>
      </w:r>
    </w:p>
    <w:p w14:paraId="44DCA0C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0A1E45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2AED4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2025-07-14T09:30:18Z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