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版本号：HGMHCG-2025-6220250716001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铜川市温室气体排放监测项目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HGMHCG-2025-62</w:t>
      </w:r>
      <w:r>
        <w:br/>
      </w:r>
      <w:r>
        <w:br/>
      </w:r>
      <w:r>
        <w:br/>
      </w:r>
    </w:p>
    <w:p>
      <w:pPr>
        <w:pStyle w:val="null3"/>
        <w:jc w:val="center"/>
        <w:outlineLvl w:val="2"/>
      </w:pPr>
      <w:r>
        <w:rPr>
          <w:rFonts w:ascii="仿宋_GB2312" w:hAnsi="仿宋_GB2312" w:cs="仿宋_GB2312" w:eastAsia="仿宋_GB2312"/>
          <w:sz w:val="28"/>
          <w:b/>
        </w:rPr>
        <w:t>铜川市环境监测站</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铜川市环境监测站</w:t>
      </w:r>
      <w:r>
        <w:rPr>
          <w:rFonts w:ascii="仿宋_GB2312" w:hAnsi="仿宋_GB2312" w:cs="仿宋_GB2312" w:eastAsia="仿宋_GB2312"/>
        </w:rPr>
        <w:t>委托，拟对</w:t>
      </w:r>
      <w:r>
        <w:rPr>
          <w:rFonts w:ascii="仿宋_GB2312" w:hAnsi="仿宋_GB2312" w:cs="仿宋_GB2312" w:eastAsia="仿宋_GB2312"/>
        </w:rPr>
        <w:t>铜川市温室气体排放监测项目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HGMHCG-2025-62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铜川市温室气体排放监测项目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铜川市温室气体排放监测项目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采购包1（铜川市温室气体排放监测项目）：属于专门面向中小企业采购。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供应商需提供2024年度财务审计报告或提供文件递交截止日前三个月内任意一个月从基本户银行开具的资信证明：供应商需提供2024年度财务审计报告或提供文件递交截止日前三个月内任意一个月从基本户银行开具的资信证明。</w:t>
      </w:r>
    </w:p>
    <w:p>
      <w:pPr>
        <w:pStyle w:val="null3"/>
      </w:pPr>
      <w:r>
        <w:rPr>
          <w:rFonts w:ascii="仿宋_GB2312" w:hAnsi="仿宋_GB2312" w:cs="仿宋_GB2312" w:eastAsia="仿宋_GB2312"/>
        </w:rPr>
        <w:t>4、法定代表人直接参加投标的，须出具法人身份证；授权代表参加投标的，须出具授权书及授权代表身份证：法定代表人直接参加投标的，须出具法人身份证；授权代表参加投标的，须出具授权书及授权代表身份证。</w:t>
      </w:r>
    </w:p>
    <w:p>
      <w:pPr>
        <w:pStyle w:val="null3"/>
      </w:pPr>
      <w:r>
        <w:rPr>
          <w:rFonts w:ascii="仿宋_GB2312" w:hAnsi="仿宋_GB2312" w:cs="仿宋_GB2312" w:eastAsia="仿宋_GB2312"/>
        </w:rPr>
        <w:t>5、供应商出具本企业参加政府采购活动前三年内经营活动中没有重大违法记录的书面声明：供应商出具本企业参加政府采购活动前三年内经营活动中没有重大违法记录的书面声明。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6、供应商不得为“信用中国”中列入失信被执行人和重大税收违法案件当事人名单的供应商，不得为“中国政府采购网”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铜川市新区齐庆路4号铜川环保大楼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0919-3152842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陕西省铜川市新区长虹南路山水雅庭3幢1单元10901室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铜川市环境监测站</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铜川市环境监测站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地址：陕西省铜川市新区长虹南路山水雅庭3幢1单元10901室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铜川市温室气体排放监测项目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铜川市温室气体排放监测项目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标的名称：铜川市温室气体排放监测项目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95" w:after="105"/>
              <w:jc w:val="left"/>
            </w:pPr>
            <w:r>
              <w:rPr>
                <w:rFonts w:ascii="仿宋_GB2312" w:hAnsi="仿宋_GB2312" w:cs="仿宋_GB2312" w:eastAsia="仿宋_GB2312"/>
                <w:sz w:val="21"/>
                <w:color w:val="000000"/>
              </w:rPr>
              <w:t>一、建设目标</w:t>
            </w:r>
          </w:p>
          <w:p>
            <w:pPr>
              <w:pStyle w:val="null3"/>
              <w:ind w:firstLine="482"/>
              <w:jc w:val="left"/>
            </w:pPr>
            <w:r>
              <w:rPr>
                <w:rFonts w:ascii="仿宋_GB2312" w:hAnsi="仿宋_GB2312" w:cs="仿宋_GB2312" w:eastAsia="仿宋_GB2312"/>
                <w:sz w:val="21"/>
                <w:color w:val="000000"/>
              </w:rPr>
              <w:t>基于铜川市碳监测评估试点项目和深化碳监测评估试点项目建设基础，加强碳监测网络持续建设，开展二氧化碳环境浓度立体监测，优化“地面监测、走航和无人机监测、卫星遥感监测”天空地一体化的碳监测体系。加强重点行业固定源排放监测，选择铜川市火电、煤炭行业建设固定源碳排放在线监测系统，结合空天地一体化监测法提升重点行业企业碳排放数据质量。通过项目的建设，不断提高铜川市碳排放量核算工作的科学性和准确性，为制定更加有效的减排政策提供有力支持，为铜川市实现碳达峰、碳中和目标，打造绿色低碳、可持续发展的城市典范奠定坚实基础。</w:t>
            </w:r>
          </w:p>
          <w:p>
            <w:pPr>
              <w:pStyle w:val="null3"/>
              <w:spacing w:before="195" w:after="105"/>
              <w:jc w:val="left"/>
            </w:pPr>
            <w:r>
              <w:rPr>
                <w:rFonts w:ascii="仿宋_GB2312" w:hAnsi="仿宋_GB2312" w:cs="仿宋_GB2312" w:eastAsia="仿宋_GB2312"/>
                <w:sz w:val="21"/>
                <w:color w:val="000000"/>
              </w:rPr>
              <w:t>二、建设内容</w:t>
            </w:r>
          </w:p>
          <w:p>
            <w:pPr>
              <w:pStyle w:val="null3"/>
              <w:ind w:firstLine="482"/>
              <w:jc w:val="left"/>
            </w:pPr>
            <w:r>
              <w:rPr>
                <w:rFonts w:ascii="仿宋_GB2312" w:hAnsi="仿宋_GB2312" w:cs="仿宋_GB2312" w:eastAsia="仿宋_GB2312"/>
                <w:sz w:val="21"/>
                <w:color w:val="000000"/>
              </w:rPr>
              <w:t>本项目内容为铜川市重点行业固定源排放监测试点建设。加强重点行业固定源排放监测，选择铜川市火电、煤炭行业建设 3 套固定源碳排放在线监测系统，结合空天地一体化监测法提升重点行业企业碳排放数据质量。构建一个多层次、立体化的温室气体监测网络，实现对铜川市大气温室气体的全面、实时、高精度监测，为城市低碳发展规划提供科学依据。</w:t>
            </w:r>
          </w:p>
          <w:p>
            <w:pPr>
              <w:pStyle w:val="null3"/>
              <w:spacing w:before="300" w:after="165"/>
              <w:jc w:val="center"/>
            </w:pPr>
            <w:r>
              <w:rPr>
                <w:rFonts w:ascii="仿宋_GB2312" w:hAnsi="仿宋_GB2312" w:cs="仿宋_GB2312" w:eastAsia="仿宋_GB2312"/>
                <w:sz w:val="21"/>
                <w:color w:val="000000"/>
              </w:rPr>
              <w:t>表1 铜川市温室气体排放监测项目建设内容</w:t>
            </w:r>
          </w:p>
          <w:tbl>
            <w:tblPr>
              <w:tblBorders>
                <w:top w:val="none" w:color="000000" w:sz="4"/>
                <w:left w:val="none" w:color="000000" w:sz="4"/>
                <w:bottom w:val="none" w:color="000000" w:sz="4"/>
                <w:right w:val="none" w:color="000000" w:sz="4"/>
                <w:insideH w:val="none"/>
                <w:insideV w:val="none"/>
              </w:tblBorders>
            </w:tblPr>
            <w:tblGrid>
              <w:gridCol w:w="202"/>
              <w:gridCol w:w="839"/>
              <w:gridCol w:w="926"/>
              <w:gridCol w:w="380"/>
              <w:gridCol w:w="206"/>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铜川市温室气体排放监测项目建设内容</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仪器设备及技术服务名称</w:t>
                  </w:r>
                </w:p>
              </w:tc>
              <w:tc>
                <w:tcPr>
                  <w:tcW w:type="dxa" w:w="9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数量/单位</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监测点位选址及采样器安装点位选择</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针对重点行业固定源排放监测，在铜川市火电、煤炭行业企业选择三个监测点位建设固定源碳排放在线监测系统，考虑企业的整体生产运营流程、温室气体排放源以及监测技术要求，通过仿真分析，选择合适的采样器安装点位，确保监测点位的科学性和有效性</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3个</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固定源碳排放在线监测系统</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固定源碳排放在线监测系统主要包括采样单元、温室气体分析仪、温压流测量仪、湿度测量仪、数据采集设备、数据传输设备和报警模块等。实现对烟气中二氧化碳、甲烷的浓度，以及烟气流量、温度、压力、湿度和排放总量的连续监测</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3套</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针对3套固定源碳排放在线监测系统提供为期1年的运维服务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数据采集、传输与核算</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针对3套固定源碳排放在线监测系统，采集烟气浓度、流速、湿度、温度、压力等数据，通过网络传输至铜川市“天-空-地”碳监测综合管理系统平台。增加排放测量模块，根据获取的数据实现碳排放量计算，并对数据进行统计分析。对仪器运行状况进行远程管理维护，将实时监测数据、历史数据、设备状态等相关监测、统计、核算信息通过可视化图表呈现，实现数据的共享互通</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1"/>
                <w:color w:val="000000"/>
              </w:rPr>
              <w:t>三、建设周期</w:t>
            </w:r>
          </w:p>
          <w:p>
            <w:pPr>
              <w:pStyle w:val="null3"/>
              <w:ind w:firstLine="482"/>
              <w:jc w:val="left"/>
            </w:pPr>
            <w:r>
              <w:rPr>
                <w:rFonts w:ascii="仿宋_GB2312" w:hAnsi="仿宋_GB2312" w:cs="仿宋_GB2312" w:eastAsia="仿宋_GB2312"/>
                <w:sz w:val="21"/>
                <w:color w:val="000000"/>
              </w:rPr>
              <w:t>交货期：合同签订之日起90日历天。监测期1年。</w:t>
            </w:r>
          </w:p>
          <w:p>
            <w:pPr>
              <w:pStyle w:val="null3"/>
              <w:spacing w:before="195" w:after="105"/>
              <w:jc w:val="left"/>
            </w:pPr>
            <w:r>
              <w:rPr>
                <w:rFonts w:ascii="仿宋_GB2312" w:hAnsi="仿宋_GB2312" w:cs="仿宋_GB2312" w:eastAsia="仿宋_GB2312"/>
                <w:sz w:val="21"/>
                <w:color w:val="000000"/>
              </w:rPr>
              <w:t>四、建设要求</w:t>
            </w:r>
          </w:p>
          <w:p>
            <w:pPr>
              <w:pStyle w:val="null3"/>
              <w:ind w:firstLine="482"/>
              <w:jc w:val="left"/>
            </w:pPr>
            <w:r>
              <w:rPr>
                <w:rFonts w:ascii="仿宋_GB2312" w:hAnsi="仿宋_GB2312" w:cs="仿宋_GB2312" w:eastAsia="仿宋_GB2312"/>
                <w:sz w:val="21"/>
                <w:color w:val="000000"/>
              </w:rPr>
              <w:t>根据《铜川市温室气体排放监测项目实施方案》要求，在铜川市火电、煤炭行业，建设三个固定源碳排放在线监测点位，实现重点行业固定源排放监测。固定源碳排放在线监测系统由直接监测系统、数据采集与传输系统、校核系统、实时监测监控平台等组成。系统测量排放气体中二氧化碳气体浓度、烟气参数（温度、湿度、流速或流量、压力等），同时计算排放气体中温室气体排放速率和排放量，显示、记录各种数据和参数，形成相关图表，并通过数据、图文等方式传输至管理部门</w:t>
            </w:r>
            <w:r>
              <w:rPr>
                <w:rFonts w:ascii="仿宋_GB2312" w:hAnsi="仿宋_GB2312" w:cs="仿宋_GB2312" w:eastAsia="仿宋_GB2312"/>
                <w:sz w:val="21"/>
                <w:b/>
                <w:color w:val="000000"/>
              </w:rPr>
              <w:t>。</w:t>
            </w:r>
          </w:p>
          <w:p>
            <w:pPr>
              <w:pStyle w:val="null3"/>
              <w:ind w:firstLine="482"/>
              <w:jc w:val="left"/>
            </w:pPr>
            <w:r>
              <w:rPr>
                <w:rFonts w:ascii="仿宋_GB2312" w:hAnsi="仿宋_GB2312" w:cs="仿宋_GB2312" w:eastAsia="仿宋_GB2312"/>
                <w:sz w:val="21"/>
                <w:color w:val="000000"/>
              </w:rPr>
              <w:t>固定源碳排放在线监测系统结构主要包括采样单元、温室气体分析仪、温压流测量仪、湿度测量仪、数据采集设备、数据传输设备和报警模块等。采样单元主要包括采样管、过滤器、电加热块、法兰对接和金属固定支架外壳等，将烟道中气体取出并输送到预处理单元不应发生尘埃堵塞。温室气体分析仪采用可调谐激光吸收光谱法设备，检测精度满足国家碳监测相关技术要求（详细技术指标如下表所示），能有效避免烟气组分的交叉干扰，对采集的污染源烟气样品进行浓度分析。</w:t>
            </w:r>
          </w:p>
          <w:p>
            <w:pPr>
              <w:pStyle w:val="null3"/>
              <w:ind w:firstLine="482"/>
              <w:jc w:val="left"/>
            </w:pPr>
            <w:r>
              <w:rPr>
                <w:rFonts w:ascii="仿宋_GB2312" w:hAnsi="仿宋_GB2312" w:cs="仿宋_GB2312" w:eastAsia="仿宋_GB2312"/>
                <w:sz w:val="21"/>
                <w:color w:val="000000"/>
              </w:rPr>
              <w:t>系统采用直接抽取法测量原理监测烟气中污染物浓度，采用梯度式过滤技术、红外吸收光谱技术、冷凝采样技术以及计算机网络通讯采集技术，可对烟气中二氧化碳、甲烷的浓度，以及烟气流量、温度、压力、湿度和排放总量的连续监测。数据采集与传输系统采用高可靠性的工控机，采集烟气浓度、流速、湿度、温度、压力等数据，并进行实时有效的控制和处理，可通过网络传输至监测平台。数据核算及校核系统可根据需求增加排放测量模块，通过数据采集与传输系统获取数据系统相关数据实现碳排放的监测及计量，并通过自动运算，得出碳排放量，实现数据校核和烟气参数测定。实时监测监控平台软件通过专线实时将碳排放监测数据汇聚至监测中心，并对数据进行统计分析，以及对仪器运行状况进行远程管理维护，将实时监测数据、历史数据、设备状态等碳排放的监测、统计、核算信息通过可视化图表呈现，数据可同步共享，可汇入政务大数据平台，实现数据的共享互通。</w:t>
            </w:r>
          </w:p>
          <w:p>
            <w:pPr>
              <w:pStyle w:val="null3"/>
              <w:jc w:val="center"/>
            </w:pPr>
            <w:r>
              <w:rPr>
                <w:rFonts w:ascii="仿宋_GB2312" w:hAnsi="仿宋_GB2312" w:cs="仿宋_GB2312" w:eastAsia="仿宋_GB2312"/>
                <w:sz w:val="21"/>
                <w:color w:val="000000"/>
              </w:rPr>
              <w:t>表2 固定源碳排放在线监测系统温室气体分析仪参数</w:t>
            </w:r>
          </w:p>
          <w:tbl>
            <w:tblPr>
              <w:tblBorders>
                <w:top w:val="none" w:color="000000" w:sz="4"/>
                <w:left w:val="none" w:color="000000" w:sz="4"/>
                <w:bottom w:val="none" w:color="000000" w:sz="4"/>
                <w:right w:val="none" w:color="000000" w:sz="4"/>
                <w:insideH w:val="none"/>
                <w:insideV w:val="none"/>
              </w:tblBorders>
            </w:tblPr>
            <w:tblGrid>
              <w:gridCol w:w="507"/>
              <w:gridCol w:w="706"/>
              <w:gridCol w:w="480"/>
              <w:gridCol w:w="470"/>
              <w:gridCol w:w="378"/>
            </w:tblGrid>
            <w:tr>
              <w:tc>
                <w:tcPr>
                  <w:tcW w:type="dxa" w:w="507"/>
                  <w:tcBorders>
                    <w:top w:val="singl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项目</w:t>
                  </w:r>
                </w:p>
              </w:tc>
              <w:tc>
                <w:tcPr>
                  <w:tcW w:type="dxa" w:w="2034"/>
                  <w:gridSpan w:val="4"/>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ind w:firstLine="199"/>
                    <w:jc w:val="center"/>
                  </w:pPr>
                  <w:r>
                    <w:rPr>
                      <w:rFonts w:ascii="仿宋_GB2312" w:hAnsi="仿宋_GB2312" w:cs="仿宋_GB2312" w:eastAsia="仿宋_GB2312"/>
                      <w:sz w:val="21"/>
                      <w:color w:val="000000"/>
                    </w:rPr>
                    <w:t>指标参数</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重点行业</w:t>
                  </w:r>
                </w:p>
              </w:tc>
              <w:tc>
                <w:tcPr>
                  <w:tcW w:type="dxa" w:w="1186"/>
                  <w:gridSpan w:val="2"/>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火电</w:t>
                  </w:r>
                </w:p>
              </w:tc>
              <w:tc>
                <w:tcPr>
                  <w:tcW w:type="dxa" w:w="848"/>
                  <w:gridSpan w:val="2"/>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煤矿</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监测气体</w:t>
                  </w:r>
                </w:p>
              </w:tc>
              <w:tc>
                <w:tcPr>
                  <w:tcW w:type="dxa" w:w="706"/>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CO</w:t>
                  </w:r>
                  <w:r>
                    <w:rPr>
                      <w:rFonts w:ascii="仿宋_GB2312" w:hAnsi="仿宋_GB2312" w:cs="仿宋_GB2312" w:eastAsia="仿宋_GB2312"/>
                      <w:sz w:val="21"/>
                      <w:color w:val="000000"/>
                      <w:vertAlign w:val="subscript"/>
                    </w:rPr>
                    <w:t>2</w:t>
                  </w:r>
                </w:p>
              </w:tc>
              <w:tc>
                <w:tcPr>
                  <w:tcW w:type="dxa" w:w="48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CH</w:t>
                  </w:r>
                  <w:r>
                    <w:rPr>
                      <w:rFonts w:ascii="仿宋_GB2312" w:hAnsi="仿宋_GB2312" w:cs="仿宋_GB2312" w:eastAsia="仿宋_GB2312"/>
                      <w:sz w:val="21"/>
                      <w:color w:val="000000"/>
                      <w:vertAlign w:val="subscript"/>
                    </w:rPr>
                    <w:t>4</w:t>
                  </w:r>
                </w:p>
              </w:tc>
              <w:tc>
                <w:tcPr>
                  <w:tcW w:type="dxa" w:w="470"/>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CO</w:t>
                  </w:r>
                  <w:r>
                    <w:rPr>
                      <w:rFonts w:ascii="仿宋_GB2312" w:hAnsi="仿宋_GB2312" w:cs="仿宋_GB2312" w:eastAsia="仿宋_GB2312"/>
                      <w:sz w:val="21"/>
                      <w:color w:val="000000"/>
                      <w:vertAlign w:val="subscript"/>
                    </w:rPr>
                    <w:t>2</w:t>
                  </w:r>
                </w:p>
              </w:tc>
              <w:tc>
                <w:tcPr>
                  <w:tcW w:type="dxa" w:w="378"/>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CH</w:t>
                  </w:r>
                  <w:r>
                    <w:rPr>
                      <w:rFonts w:ascii="仿宋_GB2312" w:hAnsi="仿宋_GB2312" w:cs="仿宋_GB2312" w:eastAsia="仿宋_GB2312"/>
                      <w:sz w:val="21"/>
                      <w:color w:val="000000"/>
                      <w:vertAlign w:val="subscript"/>
                    </w:rPr>
                    <w:t>4</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监测气体浓度范围</w:t>
                  </w:r>
                </w:p>
              </w:tc>
              <w:tc>
                <w:tcPr>
                  <w:tcW w:type="dxa" w:w="706"/>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0~200000ppm</w:t>
                  </w:r>
                </w:p>
              </w:tc>
              <w:tc>
                <w:tcPr>
                  <w:tcW w:type="dxa" w:w="48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0~</w:t>
                  </w:r>
                  <w:r>
                    <w:rPr>
                      <w:rFonts w:ascii="仿宋_GB2312" w:hAnsi="仿宋_GB2312" w:cs="仿宋_GB2312" w:eastAsia="仿宋_GB2312"/>
                      <w:sz w:val="21"/>
                      <w:color w:val="000000"/>
                    </w:rPr>
                    <w:t>20</w:t>
                  </w:r>
                  <w:r>
                    <w:rPr>
                      <w:rFonts w:ascii="仿宋_GB2312" w:hAnsi="仿宋_GB2312" w:cs="仿宋_GB2312" w:eastAsia="仿宋_GB2312"/>
                      <w:sz w:val="21"/>
                      <w:color w:val="000000"/>
                    </w:rPr>
                    <w:t>00ppm</w:t>
                  </w:r>
                </w:p>
              </w:tc>
              <w:tc>
                <w:tcPr>
                  <w:tcW w:type="dxa" w:w="47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0~5000ppm</w:t>
                  </w:r>
                </w:p>
              </w:tc>
              <w:tc>
                <w:tcPr>
                  <w:tcW w:type="dxa" w:w="378"/>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0~2000ppm</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重复性</w:t>
                  </w:r>
                </w:p>
              </w:tc>
              <w:tc>
                <w:tcPr>
                  <w:tcW w:type="dxa" w:w="706"/>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≤0.2%</w:t>
                  </w:r>
                </w:p>
              </w:tc>
              <w:tc>
                <w:tcPr>
                  <w:tcW w:type="dxa" w:w="48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≤0.2%</w:t>
                  </w:r>
                </w:p>
              </w:tc>
              <w:tc>
                <w:tcPr>
                  <w:tcW w:type="dxa" w:w="47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≤0.2%</w:t>
                  </w:r>
                </w:p>
              </w:tc>
              <w:tc>
                <w:tcPr>
                  <w:tcW w:type="dxa" w:w="378"/>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≤0.2%</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精度</w:t>
                  </w:r>
                </w:p>
              </w:tc>
              <w:tc>
                <w:tcPr>
                  <w:tcW w:type="dxa" w:w="706"/>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2ppm</w:t>
                  </w:r>
                  <w:r>
                    <w:rPr>
                      <w:rFonts w:ascii="仿宋_GB2312" w:hAnsi="仿宋_GB2312" w:cs="仿宋_GB2312" w:eastAsia="仿宋_GB2312"/>
                      <w:sz w:val="21"/>
                      <w:color w:val="000000"/>
                    </w:rPr>
                    <w:t>（</w:t>
                  </w:r>
                  <w:r>
                    <w:rPr>
                      <w:rFonts w:ascii="仿宋_GB2312" w:hAnsi="仿宋_GB2312" w:cs="仿宋_GB2312" w:eastAsia="仿宋_GB2312"/>
                      <w:sz w:val="21"/>
                      <w:color w:val="000000"/>
                    </w:rPr>
                    <w:t>0~5000ppm</w:t>
                  </w:r>
                  <w:r>
                    <w:rPr>
                      <w:rFonts w:ascii="仿宋_GB2312" w:hAnsi="仿宋_GB2312" w:cs="仿宋_GB2312" w:eastAsia="仿宋_GB2312"/>
                      <w:sz w:val="21"/>
                      <w:color w:val="000000"/>
                    </w:rPr>
                    <w:t>）；</w:t>
                  </w:r>
                  <w:r>
                    <w:rPr>
                      <w:rFonts w:ascii="仿宋_GB2312" w:hAnsi="仿宋_GB2312" w:cs="仿宋_GB2312" w:eastAsia="仿宋_GB2312"/>
                      <w:sz w:val="21"/>
                      <w:color w:val="000000"/>
                    </w:rPr>
                    <w:t>100ppm</w:t>
                  </w:r>
                  <w:r>
                    <w:rPr>
                      <w:rFonts w:ascii="仿宋_GB2312" w:hAnsi="仿宋_GB2312" w:cs="仿宋_GB2312" w:eastAsia="仿宋_GB2312"/>
                      <w:sz w:val="21"/>
                      <w:color w:val="000000"/>
                    </w:rPr>
                    <w:t>（</w:t>
                  </w:r>
                  <w:r>
                    <w:rPr>
                      <w:rFonts w:ascii="仿宋_GB2312" w:hAnsi="仿宋_GB2312" w:cs="仿宋_GB2312" w:eastAsia="仿宋_GB2312"/>
                      <w:sz w:val="21"/>
                      <w:color w:val="000000"/>
                    </w:rPr>
                    <w:t>5000</w:t>
                  </w:r>
                  <w:r>
                    <w:rPr>
                      <w:rFonts w:ascii="仿宋_GB2312" w:hAnsi="仿宋_GB2312" w:cs="仿宋_GB2312" w:eastAsia="仿宋_GB2312"/>
                      <w:sz w:val="21"/>
                      <w:color w:val="000000"/>
                    </w:rPr>
                    <w:t>~</w:t>
                  </w:r>
                  <w:r>
                    <w:rPr>
                      <w:rFonts w:ascii="仿宋_GB2312" w:hAnsi="仿宋_GB2312" w:cs="仿宋_GB2312" w:eastAsia="仿宋_GB2312"/>
                      <w:sz w:val="21"/>
                      <w:color w:val="000000"/>
                    </w:rPr>
                    <w:t>200</w:t>
                  </w:r>
                  <w:r>
                    <w:rPr>
                      <w:rFonts w:ascii="仿宋_GB2312" w:hAnsi="仿宋_GB2312" w:cs="仿宋_GB2312" w:eastAsia="仿宋_GB2312"/>
                      <w:sz w:val="21"/>
                      <w:color w:val="000000"/>
                    </w:rPr>
                    <w:t>000ppm</w:t>
                  </w:r>
                  <w:r>
                    <w:rPr>
                      <w:rFonts w:ascii="仿宋_GB2312" w:hAnsi="仿宋_GB2312" w:cs="仿宋_GB2312" w:eastAsia="仿宋_GB2312"/>
                      <w:sz w:val="21"/>
                      <w:color w:val="000000"/>
                    </w:rPr>
                    <w:t>）</w:t>
                  </w:r>
                </w:p>
              </w:tc>
              <w:tc>
                <w:tcPr>
                  <w:tcW w:type="dxa" w:w="48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5</w:t>
                  </w:r>
                  <w:r>
                    <w:rPr>
                      <w:rFonts w:ascii="仿宋_GB2312" w:hAnsi="仿宋_GB2312" w:cs="仿宋_GB2312" w:eastAsia="仿宋_GB2312"/>
                      <w:sz w:val="21"/>
                      <w:color w:val="000000"/>
                    </w:rPr>
                    <w:t>ppb</w:t>
                  </w:r>
                </w:p>
              </w:tc>
              <w:tc>
                <w:tcPr>
                  <w:tcW w:type="dxa" w:w="47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2ppm</w:t>
                  </w:r>
                </w:p>
              </w:tc>
              <w:tc>
                <w:tcPr>
                  <w:tcW w:type="dxa" w:w="378"/>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ppb</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线性误差</w:t>
                  </w:r>
                </w:p>
              </w:tc>
              <w:tc>
                <w:tcPr>
                  <w:tcW w:type="dxa" w:w="706"/>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±2%F.S.</w:t>
                  </w:r>
                </w:p>
              </w:tc>
              <w:tc>
                <w:tcPr>
                  <w:tcW w:type="dxa" w:w="48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%F.S.</w:t>
                  </w:r>
                </w:p>
              </w:tc>
              <w:tc>
                <w:tcPr>
                  <w:tcW w:type="dxa" w:w="47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±0.1%F.S.</w:t>
                  </w:r>
                </w:p>
              </w:tc>
              <w:tc>
                <w:tcPr>
                  <w:tcW w:type="dxa" w:w="378"/>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±1%F.S.</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零点漂移（24h）</w:t>
                  </w:r>
                </w:p>
              </w:tc>
              <w:tc>
                <w:tcPr>
                  <w:tcW w:type="dxa" w:w="706"/>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0.01%F.S.</w:t>
                  </w:r>
                </w:p>
              </w:tc>
              <w:tc>
                <w:tcPr>
                  <w:tcW w:type="dxa" w:w="48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0.</w:t>
                  </w:r>
                  <w:r>
                    <w:rPr>
                      <w:rFonts w:ascii="仿宋_GB2312" w:hAnsi="仿宋_GB2312" w:cs="仿宋_GB2312" w:eastAsia="仿宋_GB2312"/>
                      <w:sz w:val="21"/>
                      <w:color w:val="000000"/>
                    </w:rPr>
                    <w:t>2</w:t>
                  </w:r>
                  <w:r>
                    <w:rPr>
                      <w:rFonts w:ascii="仿宋_GB2312" w:hAnsi="仿宋_GB2312" w:cs="仿宋_GB2312" w:eastAsia="仿宋_GB2312"/>
                      <w:sz w:val="21"/>
                      <w:color w:val="000000"/>
                    </w:rPr>
                    <w:t>%F.S.</w:t>
                  </w:r>
                </w:p>
              </w:tc>
              <w:tc>
                <w:tcPr>
                  <w:tcW w:type="dxa" w:w="47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0.1%F.S.</w:t>
                  </w:r>
                </w:p>
              </w:tc>
              <w:tc>
                <w:tcPr>
                  <w:tcW w:type="dxa" w:w="378"/>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0.1%F.S.</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量程漂移（24h）</w:t>
                  </w:r>
                </w:p>
              </w:tc>
              <w:tc>
                <w:tcPr>
                  <w:tcW w:type="dxa" w:w="706"/>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0.2%F.S.</w:t>
                  </w:r>
                </w:p>
              </w:tc>
              <w:tc>
                <w:tcPr>
                  <w:tcW w:type="dxa" w:w="48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%F.S.</w:t>
                  </w:r>
                </w:p>
              </w:tc>
              <w:tc>
                <w:tcPr>
                  <w:tcW w:type="dxa" w:w="47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%F.S.</w:t>
                  </w:r>
                </w:p>
              </w:tc>
              <w:tc>
                <w:tcPr>
                  <w:tcW w:type="dxa" w:w="378"/>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%F.S.</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测量方式</w:t>
                  </w:r>
                </w:p>
              </w:tc>
              <w:tc>
                <w:tcPr>
                  <w:tcW w:type="dxa" w:w="2034"/>
                  <w:gridSpan w:val="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抽取式</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响应时间</w:t>
                  </w:r>
                </w:p>
              </w:tc>
              <w:tc>
                <w:tcPr>
                  <w:tcW w:type="dxa" w:w="2034"/>
                  <w:gridSpan w:val="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≤60s</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数据采集频次</w:t>
                  </w:r>
                </w:p>
              </w:tc>
              <w:tc>
                <w:tcPr>
                  <w:tcW w:type="dxa" w:w="2034"/>
                  <w:gridSpan w:val="4"/>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1s</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校准方式</w:t>
                  </w:r>
                </w:p>
              </w:tc>
              <w:tc>
                <w:tcPr>
                  <w:tcW w:type="dxa" w:w="2034"/>
                  <w:gridSpan w:val="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出厂标气标定，可通过标准气体定期校准</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工作环境温度</w:t>
                  </w:r>
                </w:p>
              </w:tc>
              <w:tc>
                <w:tcPr>
                  <w:tcW w:type="dxa" w:w="2034"/>
                  <w:gridSpan w:val="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45</w:t>
                  </w:r>
                  <w:r>
                    <w:rPr>
                      <w:rFonts w:ascii="仿宋_GB2312" w:hAnsi="仿宋_GB2312" w:cs="仿宋_GB2312" w:eastAsia="仿宋_GB2312"/>
                      <w:sz w:val="21"/>
                      <w:color w:val="000000"/>
                    </w:rPr>
                    <w:t>）℃</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工作环境湿度</w:t>
                  </w:r>
                </w:p>
              </w:tc>
              <w:tc>
                <w:tcPr>
                  <w:tcW w:type="dxa" w:w="2034"/>
                  <w:gridSpan w:val="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ind w:firstLine="199"/>
                    <w:jc w:val="center"/>
                  </w:pPr>
                  <w:r>
                    <w:rPr>
                      <w:rFonts w:ascii="仿宋_GB2312" w:hAnsi="仿宋_GB2312" w:cs="仿宋_GB2312" w:eastAsia="仿宋_GB2312"/>
                      <w:sz w:val="21"/>
                      <w:color w:val="000000"/>
                    </w:rPr>
                    <w:t>0-100%R.H.无冷凝</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工作大气压力</w:t>
                  </w:r>
                </w:p>
              </w:tc>
              <w:tc>
                <w:tcPr>
                  <w:tcW w:type="dxa" w:w="2034"/>
                  <w:gridSpan w:val="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（80~116）kPa</w:t>
                  </w:r>
                </w:p>
              </w:tc>
            </w:tr>
            <w:tr>
              <w:tc>
                <w:tcPr>
                  <w:tcW w:type="dxa" w:w="507"/>
                  <w:tcBorders>
                    <w:top w:val="none" w:color="000000" w:sz="4"/>
                    <w:left w:val="single" w:color="000000" w:sz="4"/>
                    <w:bottom w:val="single" w:color="000000" w:sz="4"/>
                    <w:right w:val="single" w:color="000000" w:sz="4"/>
                  </w:tcBorders>
                  <w:shd w:fill="FFFFFF"/>
                  <w:tcMar>
                    <w:top w:type="dxa" w:w="75"/>
                    <w:left w:type="dxa" w:w="150"/>
                    <w:bottom w:type="dxa" w:w="75"/>
                    <w:right w:type="dxa" w:w="150"/>
                  </w:tcMar>
                  <w:vAlign w:val="top"/>
                </w:tcPr>
                <w:p>
                  <w:pPr>
                    <w:pStyle w:val="null3"/>
                    <w:spacing w:after="165"/>
                    <w:jc w:val="center"/>
                  </w:pPr>
                  <w:r>
                    <w:rPr>
                      <w:rFonts w:ascii="仿宋_GB2312" w:hAnsi="仿宋_GB2312" w:cs="仿宋_GB2312" w:eastAsia="仿宋_GB2312"/>
                      <w:sz w:val="21"/>
                      <w:color w:val="000000"/>
                    </w:rPr>
                    <w:t>整体功耗</w:t>
                  </w:r>
                </w:p>
              </w:tc>
              <w:tc>
                <w:tcPr>
                  <w:tcW w:type="dxa" w:w="2034"/>
                  <w:gridSpan w:val="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after="165"/>
                    <w:jc w:val="center"/>
                  </w:pPr>
                  <w:r>
                    <w:rPr>
                      <w:rFonts w:ascii="仿宋_GB2312" w:hAnsi="仿宋_GB2312" w:cs="仿宋_GB2312" w:eastAsia="仿宋_GB2312"/>
                      <w:sz w:val="21"/>
                      <w:color w:val="000000"/>
                    </w:rPr>
                    <w:t>≤100W</w:t>
                  </w:r>
                </w:p>
              </w:tc>
            </w:tr>
          </w:tbl>
          <w:p>
            <w:pPr>
              <w:pStyle w:val="null3"/>
              <w:ind w:firstLine="482"/>
              <w:jc w:val="left"/>
            </w:pPr>
            <w:r>
              <w:rPr>
                <w:rFonts w:ascii="仿宋_GB2312" w:hAnsi="仿宋_GB2312" w:cs="仿宋_GB2312" w:eastAsia="仿宋_GB2312"/>
                <w:sz w:val="21"/>
                <w:color w:val="000000"/>
              </w:rPr>
              <w:t>温压流测量仪宜采用温度、压力、流速一体化设计结构，适用于高温、高粉尘、高腐蚀性的烟气环境下长期连续测量。湿度测量仪宜具备精度高、稳定性强、寿命长等特性，在高温高湿环境中对烟气湿度进行在线测量。样品采集装置的材质应选用耐高温、防腐蚀和不吸附、不与气态污染物发生反应的材料，应不影响待测污染物的正常测量。采样泵应具备克服烟道负压的足够抽气能力，并且保障采样流量准确可靠、相对稳定。为防止颗粒物污染分析仪，在气体样品进入分析仪之前可设置精细过滤器，过滤器应至少能过滤 0.5μm粒径的颗粒物。</w:t>
            </w:r>
          </w:p>
          <w:p>
            <w:pPr>
              <w:pStyle w:val="null3"/>
              <w:ind w:firstLine="482"/>
              <w:jc w:val="left"/>
            </w:pPr>
            <w:r>
              <w:rPr>
                <w:rFonts w:ascii="仿宋_GB2312" w:hAnsi="仿宋_GB2312" w:cs="仿宋_GB2312" w:eastAsia="仿宋_GB2312"/>
                <w:sz w:val="21"/>
                <w:color w:val="000000"/>
              </w:rPr>
              <w:t>监测站房与采样点之间距离应尽可能近，原则上不超过70m。监测站房的基础荷载强度应≥ 2000kg/ 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。若站房内仅放置单台机柜，面积应≥ 2.5×2.5 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。若同一站房放置多套分析仪表的，每增加一台机柜，站房面积应至少增加 3m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，便于开展运维操作。站房空间高度应≥ 2.8m，站房建在标高≥0m处。监测站房内应安装空调设备，室内温度应保持在（15～30）℃，相对湿度≤60%，站房内应安装空调/排风扇或其他通风设施。监测站房内应配备不同浓度的有证标准气体，且在有效期内，以满足日常校准、校验的需要。监测站房应有必要的防水、防潮、隔热、保温措施，在特定场合还应具备防爆功能。监测站房应具有能够满足数据传输要求的通讯条件。</w:t>
            </w:r>
          </w:p>
          <w:p>
            <w:pPr>
              <w:pStyle w:val="null3"/>
              <w:ind w:firstLine="482"/>
              <w:jc w:val="left"/>
            </w:pPr>
            <w:r>
              <w:rPr>
                <w:rFonts w:ascii="仿宋_GB2312" w:hAnsi="仿宋_GB2312" w:cs="仿宋_GB2312" w:eastAsia="仿宋_GB2312"/>
                <w:sz w:val="21"/>
                <w:color w:val="000000"/>
              </w:rPr>
              <w:t>安装施工应符合 GB 50093、GB 50168的规定。施工单位应熟悉系统原理、结构、性能，设备安装前的清理、检查及保养应符合标准要求。从探头到分析仪的整条采样管线的铺设应采用桥架或穿管等方式，保证整条管线具有良好的支撑。电缆桥架安装应满足最大直径电缆的最小弯曲半径要求。安装精度和连接部件坐标尺寸应符合技术文件和图样规定。监测站房仪器应排列整齐，监测仪器顶平直度和平面度应不大于 5mm，监测仪器牢固固定，可靠接地。二次接线正确、牢固可靠，配导线的端部应标明回路编号。配线工艺整齐，绑扎牢固，绝缘性好。各连接管路、法兰、阀门封口垫圈应牢固完整，均不得有漏气、漏水现象。保持所有管路畅通，保证气路阀门、排水系统安装后应畅通和启闭灵活。自动监测系统空载运行 24h 后，管路不得出现脱落、渗漏、振动强烈现象。所有设备应该符合防雷、绝缘要求。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完成供货安装，满足国家及行业质量验收合格标准（支付方式双方合同签订时具体约定）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满足国家及行业质量验收合格标准。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法定代表人直接参加投标的，须出具法人身份证；授权代表参加投标的，须出具授权书及授权代表身份证</w:t>
            </w:r>
          </w:p>
        </w:tc>
        <w:tc>
          <w:tcPr>
            <w:tcW w:type="dxa" w:w="3322"/>
          </w:tcPr>
          <w:p>
            <w:pPr>
              <w:pStyle w:val="null3"/>
            </w:pPr>
            <w:r>
              <w:rPr>
                <w:rFonts w:ascii="仿宋_GB2312" w:hAnsi="仿宋_GB2312" w:cs="仿宋_GB2312" w:eastAsia="仿宋_GB2312"/>
              </w:rPr>
              <w:t>法定代表人直接参加投标的，须出具法人身份证；授权代表参加投标的，须出具授权书及授权代表身份证。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符合“投标文件格式”要求。</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标的清单 投标文件封面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标的清单 投标文件封面 服务方案.docx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实施方案：包括但不限于对本项目的规划 、解决方案、组织实施情况、项目整体实施、服务方案等</w:t>
            </w:r>
          </w:p>
        </w:tc>
        <w:tc>
          <w:tcPr>
            <w:tcW w:type="dxa" w:w="2492"/>
          </w:tcPr>
          <w:p>
            <w:pPr>
              <w:pStyle w:val="null3"/>
            </w:pPr>
            <w:r>
              <w:rPr>
                <w:rFonts w:ascii="仿宋_GB2312" w:hAnsi="仿宋_GB2312" w:cs="仿宋_GB2312" w:eastAsia="仿宋_GB2312"/>
              </w:rPr>
              <w:t>1、实施方案全面，针对性强，具有较强可操作性，7～10分；2、实施方案合理，针对性、可操作性一般，4～6分；3、实施方案不清晰，针对性、可操作性较差，1～3分。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项目供货方案：有具体的备货、供货安排及供货进度保证措施，货物安全保障措施等</w:t>
            </w:r>
          </w:p>
        </w:tc>
        <w:tc>
          <w:tcPr>
            <w:tcW w:type="dxa" w:w="2492"/>
          </w:tcPr>
          <w:p>
            <w:pPr>
              <w:pStyle w:val="null3"/>
            </w:pPr>
            <w:r>
              <w:rPr>
                <w:rFonts w:ascii="仿宋_GB2312" w:hAnsi="仿宋_GB2312" w:cs="仿宋_GB2312" w:eastAsia="仿宋_GB2312"/>
              </w:rPr>
              <w:t>1、方案内容完整、全面、详细的计7～10分；2、方案内容有欠缺、较薄弱的计4～6分；3、方案内容有严重欠缺、薄弱的计1～3分。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应急处理：供应商针对本项目提供故障突发事件的处理方案以及故障响应的时效性保证措施</w:t>
            </w:r>
          </w:p>
        </w:tc>
        <w:tc>
          <w:tcPr>
            <w:tcW w:type="dxa" w:w="2492"/>
          </w:tcPr>
          <w:p>
            <w:pPr>
              <w:pStyle w:val="null3"/>
            </w:pPr>
            <w:r>
              <w:rPr>
                <w:rFonts w:ascii="仿宋_GB2312" w:hAnsi="仿宋_GB2312" w:cs="仿宋_GB2312" w:eastAsia="仿宋_GB2312"/>
              </w:rPr>
              <w:t>1、方案内容完整、全面、详细的计7～10分；2、方案内容有欠缺、较薄弱的计4～6分；3、方案内容有严重欠缺、薄弱的计1～3分。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培训方案：包括但不限于培训计划、方式、时间、地点、人员、提供使用方法等专业的技术咨询和指导等方面</w:t>
            </w:r>
          </w:p>
        </w:tc>
        <w:tc>
          <w:tcPr>
            <w:tcW w:type="dxa" w:w="2492"/>
          </w:tcPr>
          <w:p>
            <w:pPr>
              <w:pStyle w:val="null3"/>
            </w:pPr>
            <w:r>
              <w:rPr>
                <w:rFonts w:ascii="仿宋_GB2312" w:hAnsi="仿宋_GB2312" w:cs="仿宋_GB2312" w:eastAsia="仿宋_GB2312"/>
              </w:rPr>
              <w:t>1、培训方案内容具体、完整、详细、全面的计7～10分；2、培训方案内容欠缺、薄弱的计4～6分；3、培训方案内容有严重欠缺、薄弱的计1～3分。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售后服务：包括但不限于拟投入售后服务人员配置情况、项目交付用户后出现问题响应时间及措施、质量保证范围以及相关后期服务承诺等方面</w:t>
            </w:r>
          </w:p>
        </w:tc>
        <w:tc>
          <w:tcPr>
            <w:tcW w:type="dxa" w:w="2492"/>
          </w:tcPr>
          <w:p>
            <w:pPr>
              <w:pStyle w:val="null3"/>
            </w:pPr>
            <w:r>
              <w:rPr>
                <w:rFonts w:ascii="仿宋_GB2312" w:hAnsi="仿宋_GB2312" w:cs="仿宋_GB2312" w:eastAsia="仿宋_GB2312"/>
              </w:rPr>
              <w:t>1、售后服务方案内容具体、完整、详细、全面的计 7～10分；2、售后服务方案内容欠缺、薄弱的计4～6分；3、售后服务方案内容有严重欠缺、薄弱的计1～3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能提供所投产品的合法来源渠道及产品合格证明文件</w:t>
            </w:r>
          </w:p>
        </w:tc>
        <w:tc>
          <w:tcPr>
            <w:tcW w:type="dxa" w:w="2492"/>
          </w:tcPr>
          <w:p>
            <w:pPr>
              <w:pStyle w:val="null3"/>
            </w:pPr>
            <w:r>
              <w:rPr>
                <w:rFonts w:ascii="仿宋_GB2312" w:hAnsi="仿宋_GB2312" w:cs="仿宋_GB2312" w:eastAsia="仿宋_GB2312"/>
              </w:rPr>
              <w:t>所投产品应符合国家行业标准根据响应程度计1～6分 （包括但不限于销售协议、代理协议、原厂授权、检验或检测报告、出厂合格证及国家强制认证等），根据提供情况酌情赋分，未提供不计分缺项不得分)。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人员配备：投入本项目人员，团队分工明确，配置齐全</w:t>
            </w:r>
          </w:p>
        </w:tc>
        <w:tc>
          <w:tcPr>
            <w:tcW w:type="dxa" w:w="2492"/>
          </w:tcPr>
          <w:p>
            <w:pPr>
              <w:pStyle w:val="null3"/>
            </w:pPr>
            <w:r>
              <w:rPr>
                <w:rFonts w:ascii="仿宋_GB2312" w:hAnsi="仿宋_GB2312" w:cs="仿宋_GB2312" w:eastAsia="仿宋_GB2312"/>
              </w:rPr>
              <w:t>根据人员配置的数量、职称、经验等方面，横向比较打分（1～9分）。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重点问题解决方案：根据现有重点难点问题，提出可操作性的 对策建议</w:t>
            </w:r>
          </w:p>
        </w:tc>
        <w:tc>
          <w:tcPr>
            <w:tcW w:type="dxa" w:w="2492"/>
          </w:tcPr>
          <w:p>
            <w:pPr>
              <w:pStyle w:val="null3"/>
            </w:pPr>
            <w:r>
              <w:rPr>
                <w:rFonts w:ascii="仿宋_GB2312" w:hAnsi="仿宋_GB2312" w:cs="仿宋_GB2312" w:eastAsia="仿宋_GB2312"/>
              </w:rPr>
              <w:t>由评标委员会综合评审自主打分1～3分。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