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097CC">
      <w:pPr>
        <w:spacing w:before="120" w:line="360" w:lineRule="auto"/>
        <w:jc w:val="center"/>
        <w:rPr>
          <w:rFonts w:hint="eastAsia" w:ascii="仿宋" w:hAnsi="仿宋" w:eastAsia="仿宋" w:cs="仿宋"/>
          <w:b/>
          <w:bCs/>
          <w:sz w:val="36"/>
          <w:szCs w:val="36"/>
        </w:rPr>
      </w:pPr>
      <w:bookmarkStart w:id="0" w:name="_Toc458617469"/>
      <w:bookmarkStart w:id="1" w:name="_Toc26356"/>
      <w:bookmarkStart w:id="2" w:name="_Toc458617746"/>
    </w:p>
    <w:p w14:paraId="40CD73AE">
      <w:pPr>
        <w:spacing w:before="120" w:line="360" w:lineRule="auto"/>
        <w:jc w:val="center"/>
        <w:rPr>
          <w:rFonts w:hint="eastAsia" w:ascii="仿宋" w:hAnsi="仿宋" w:eastAsia="仿宋" w:cs="仿宋"/>
          <w:b/>
          <w:bCs/>
          <w:sz w:val="36"/>
          <w:szCs w:val="36"/>
          <w:lang w:eastAsia="zh-CN"/>
        </w:rPr>
      </w:pPr>
      <w:r>
        <w:rPr>
          <w:rFonts w:hint="eastAsia" w:ascii="仿宋" w:hAnsi="仿宋" w:eastAsia="仿宋" w:cs="仿宋"/>
          <w:b/>
          <w:bCs/>
          <w:sz w:val="36"/>
          <w:szCs w:val="36"/>
        </w:rPr>
        <w:t>政 府 采 购 合 同</w:t>
      </w:r>
      <w:r>
        <w:rPr>
          <w:rFonts w:hint="eastAsia" w:ascii="仿宋" w:hAnsi="仿宋" w:eastAsia="仿宋" w:cs="仿宋"/>
          <w:b/>
          <w:bCs/>
          <w:sz w:val="36"/>
          <w:szCs w:val="36"/>
        </w:rPr>
        <w:br w:type="textWrapping"/>
      </w:r>
      <w:r>
        <w:rPr>
          <w:rFonts w:hint="eastAsia" w:ascii="仿宋" w:hAnsi="仿宋" w:eastAsia="仿宋" w:cs="仿宋"/>
          <w:b/>
          <w:bCs/>
          <w:sz w:val="22"/>
          <w:szCs w:val="22"/>
          <w:lang w:eastAsia="zh-CN"/>
        </w:rPr>
        <w:t>（</w:t>
      </w:r>
      <w:r>
        <w:rPr>
          <w:rFonts w:hint="eastAsia" w:ascii="仿宋" w:hAnsi="仿宋" w:eastAsia="仿宋" w:cs="仿宋"/>
          <w:b/>
          <w:bCs/>
          <w:sz w:val="22"/>
          <w:szCs w:val="22"/>
          <w:lang w:val="en-US" w:eastAsia="zh-CN"/>
        </w:rPr>
        <w:t>参考文本，具体细则条款双方合同签订时具体约定</w:t>
      </w:r>
      <w:r>
        <w:rPr>
          <w:rFonts w:hint="eastAsia" w:ascii="仿宋" w:hAnsi="仿宋" w:eastAsia="仿宋" w:cs="仿宋"/>
          <w:b/>
          <w:bCs/>
          <w:sz w:val="22"/>
          <w:szCs w:val="22"/>
          <w:lang w:eastAsia="zh-CN"/>
        </w:rPr>
        <w:t>）</w:t>
      </w:r>
    </w:p>
    <w:p w14:paraId="6C300D0B">
      <w:pPr>
        <w:spacing w:before="120" w:line="360" w:lineRule="auto"/>
        <w:jc w:val="center"/>
        <w:rPr>
          <w:rFonts w:hint="eastAsia" w:ascii="仿宋" w:hAnsi="仿宋" w:eastAsia="仿宋" w:cs="仿宋"/>
          <w:sz w:val="28"/>
          <w:szCs w:val="28"/>
        </w:rPr>
      </w:pPr>
    </w:p>
    <w:p w14:paraId="261A6C9D">
      <w:pPr>
        <w:spacing w:before="120" w:line="360" w:lineRule="auto"/>
        <w:ind w:firstLine="3064" w:firstLineChars="1090"/>
        <w:rPr>
          <w:rFonts w:hint="eastAsia" w:ascii="仿宋" w:hAnsi="仿宋" w:eastAsia="仿宋" w:cs="仿宋"/>
          <w:sz w:val="28"/>
          <w:szCs w:val="28"/>
        </w:rPr>
      </w:pPr>
      <w:bookmarkStart w:id="3" w:name="_Toc109543216"/>
      <w:bookmarkStart w:id="4" w:name="_Toc109542396"/>
      <w:r>
        <w:rPr>
          <w:rFonts w:hint="eastAsia" w:ascii="仿宋" w:hAnsi="仿宋" w:eastAsia="仿宋" w:cs="仿宋"/>
          <w:b/>
          <w:bCs/>
          <w:sz w:val="28"/>
          <w:szCs w:val="28"/>
        </w:rPr>
        <w:t>合同编号：</w:t>
      </w:r>
      <w:bookmarkEnd w:id="3"/>
      <w:bookmarkEnd w:id="4"/>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14:paraId="24BD8BC5">
      <w:pPr>
        <w:pStyle w:val="4"/>
        <w:spacing w:before="120" w:line="360" w:lineRule="auto"/>
        <w:ind w:firstLine="0"/>
        <w:rPr>
          <w:rFonts w:hint="eastAsia" w:ascii="仿宋" w:hAnsi="仿宋" w:eastAsia="仿宋" w:cs="仿宋"/>
          <w:sz w:val="28"/>
          <w:szCs w:val="28"/>
        </w:rPr>
      </w:pPr>
    </w:p>
    <w:p w14:paraId="169D0295">
      <w:pPr>
        <w:spacing w:before="120" w:line="360" w:lineRule="auto"/>
        <w:rPr>
          <w:rFonts w:hint="eastAsia" w:ascii="仿宋" w:hAnsi="仿宋" w:eastAsia="仿宋" w:cs="仿宋"/>
          <w:b/>
          <w:bCs/>
          <w:sz w:val="28"/>
          <w:szCs w:val="28"/>
        </w:rPr>
      </w:pPr>
    </w:p>
    <w:p w14:paraId="767A8C16">
      <w:pPr>
        <w:pStyle w:val="2"/>
        <w:rPr>
          <w:rFonts w:hint="eastAsia" w:ascii="仿宋" w:hAnsi="仿宋" w:eastAsia="仿宋" w:cs="仿宋"/>
          <w:b/>
          <w:bCs/>
          <w:sz w:val="28"/>
          <w:szCs w:val="28"/>
        </w:rPr>
      </w:pPr>
    </w:p>
    <w:p w14:paraId="56542B66">
      <w:pPr>
        <w:rPr>
          <w:rFonts w:hint="eastAsia" w:ascii="仿宋" w:hAnsi="仿宋" w:eastAsia="仿宋" w:cs="仿宋"/>
          <w:b/>
          <w:bCs/>
          <w:sz w:val="28"/>
          <w:szCs w:val="28"/>
        </w:rPr>
      </w:pPr>
    </w:p>
    <w:p w14:paraId="2275CEAA">
      <w:pPr>
        <w:pStyle w:val="2"/>
        <w:rPr>
          <w:rFonts w:hint="eastAsia" w:ascii="仿宋" w:hAnsi="仿宋" w:eastAsia="仿宋" w:cs="仿宋"/>
          <w:b/>
          <w:bCs/>
          <w:sz w:val="28"/>
          <w:szCs w:val="28"/>
        </w:rPr>
      </w:pPr>
    </w:p>
    <w:p w14:paraId="3C756059">
      <w:pPr>
        <w:rPr>
          <w:rFonts w:hint="eastAsia" w:ascii="仿宋" w:hAnsi="仿宋" w:eastAsia="仿宋" w:cs="仿宋"/>
          <w:b/>
          <w:bCs/>
          <w:sz w:val="28"/>
          <w:szCs w:val="28"/>
        </w:rPr>
      </w:pPr>
    </w:p>
    <w:p w14:paraId="5BDADAE6">
      <w:pPr>
        <w:rPr>
          <w:rFonts w:hint="eastAsia" w:ascii="仿宋" w:hAnsi="仿宋" w:eastAsia="仿宋" w:cs="仿宋"/>
          <w:b/>
          <w:bCs/>
          <w:sz w:val="28"/>
          <w:szCs w:val="28"/>
        </w:rPr>
      </w:pPr>
    </w:p>
    <w:p w14:paraId="00BE38C7">
      <w:pPr>
        <w:pStyle w:val="2"/>
        <w:rPr>
          <w:rFonts w:hint="eastAsia" w:ascii="仿宋" w:hAnsi="仿宋" w:eastAsia="仿宋" w:cs="仿宋"/>
          <w:b/>
          <w:bCs/>
          <w:sz w:val="28"/>
          <w:szCs w:val="28"/>
        </w:rPr>
      </w:pPr>
    </w:p>
    <w:p w14:paraId="04DAFF62">
      <w:pPr>
        <w:rPr>
          <w:rFonts w:hint="eastAsia" w:ascii="仿宋" w:hAnsi="仿宋" w:eastAsia="仿宋" w:cs="仿宋"/>
          <w:b/>
          <w:bCs/>
          <w:sz w:val="28"/>
          <w:szCs w:val="28"/>
        </w:rPr>
      </w:pPr>
    </w:p>
    <w:p w14:paraId="315A21B5">
      <w:pPr>
        <w:pStyle w:val="2"/>
        <w:rPr>
          <w:rFonts w:hint="eastAsia" w:ascii="仿宋" w:hAnsi="仿宋" w:eastAsia="仿宋" w:cs="仿宋"/>
          <w:b/>
          <w:bCs/>
          <w:sz w:val="28"/>
          <w:szCs w:val="28"/>
        </w:rPr>
      </w:pPr>
    </w:p>
    <w:p w14:paraId="58496214">
      <w:pPr>
        <w:rPr>
          <w:rFonts w:hint="eastAsia"/>
        </w:rPr>
      </w:pPr>
    </w:p>
    <w:p w14:paraId="4559A352">
      <w:pPr>
        <w:pStyle w:val="2"/>
        <w:rPr>
          <w:rFonts w:hint="eastAsia" w:ascii="仿宋" w:hAnsi="仿宋" w:eastAsia="仿宋" w:cs="仿宋"/>
          <w:b/>
          <w:bCs/>
          <w:sz w:val="28"/>
          <w:szCs w:val="28"/>
        </w:rPr>
      </w:pPr>
    </w:p>
    <w:p w14:paraId="25D85176">
      <w:pPr>
        <w:rPr>
          <w:rFonts w:hint="eastAsia" w:ascii="仿宋" w:hAnsi="仿宋" w:eastAsia="仿宋" w:cs="仿宋"/>
          <w:b/>
          <w:bCs/>
          <w:sz w:val="28"/>
          <w:szCs w:val="28"/>
        </w:rPr>
      </w:pPr>
    </w:p>
    <w:p w14:paraId="6DB1A522">
      <w:pPr>
        <w:pStyle w:val="2"/>
        <w:rPr>
          <w:rFonts w:hint="eastAsia" w:ascii="仿宋" w:hAnsi="仿宋" w:eastAsia="仿宋" w:cs="仿宋"/>
        </w:rPr>
      </w:pPr>
    </w:p>
    <w:p w14:paraId="2C60122F">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rPr>
        <w:t>采购项目名称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1EA3C1D6">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lang w:val="en-US" w:eastAsia="zh-CN"/>
        </w:rPr>
        <w:t>采购人</w:t>
      </w:r>
      <w:r>
        <w:rPr>
          <w:rFonts w:hint="eastAsia" w:ascii="仿宋" w:hAnsi="仿宋" w:eastAsia="仿宋" w:cs="仿宋"/>
          <w:b/>
          <w:bCs/>
          <w:sz w:val="28"/>
          <w:szCs w:val="28"/>
          <w:lang w:eastAsia="zh-CN"/>
        </w:rPr>
        <w:t>（甲方）</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67B9C13E">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成交供应商（</w:t>
      </w:r>
      <w:r>
        <w:rPr>
          <w:rFonts w:hint="eastAsia" w:ascii="仿宋" w:hAnsi="仿宋" w:eastAsia="仿宋" w:cs="仿宋"/>
          <w:b/>
          <w:bCs/>
          <w:sz w:val="28"/>
          <w:szCs w:val="28"/>
          <w:lang w:eastAsia="zh-CN"/>
        </w:rPr>
        <w:t>乙方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20E31F9E">
      <w:pPr>
        <w:spacing w:before="120" w:line="360" w:lineRule="auto"/>
        <w:ind w:left="96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lang w:val="en-US" w:eastAsia="zh-CN"/>
        </w:rPr>
        <w:t>签署地点 ：</w:t>
      </w:r>
      <w:r>
        <w:rPr>
          <w:rFonts w:hint="eastAsia" w:ascii="仿宋" w:hAnsi="仿宋" w:eastAsia="仿宋" w:cs="仿宋"/>
          <w:b/>
          <w:bCs/>
          <w:sz w:val="28"/>
          <w:szCs w:val="28"/>
          <w:u w:val="single"/>
          <w:lang w:val="en-US" w:eastAsia="zh-CN"/>
        </w:rPr>
        <w:t xml:space="preserve">                                        </w:t>
      </w:r>
    </w:p>
    <w:p w14:paraId="6D690A37">
      <w:pPr>
        <w:spacing w:before="120" w:line="360" w:lineRule="auto"/>
        <w:ind w:left="960"/>
        <w:rPr>
          <w:rFonts w:hint="eastAsia" w:ascii="仿宋" w:hAnsi="仿宋" w:eastAsia="仿宋" w:cs="仿宋"/>
          <w:b/>
          <w:bCs/>
          <w:sz w:val="28"/>
          <w:szCs w:val="28"/>
          <w:lang w:val="en-US" w:eastAsia="zh-CN"/>
        </w:rPr>
        <w:sectPr>
          <w:pgSz w:w="11906" w:h="16838"/>
          <w:pgMar w:top="1418" w:right="1423" w:bottom="1418" w:left="1644" w:header="720" w:footer="720" w:gutter="0"/>
          <w:pgNumType w:fmt="decimal" w:start="1"/>
          <w:cols w:space="720" w:num="1"/>
          <w:docGrid w:linePitch="288" w:charSpace="-3449"/>
        </w:sectPr>
      </w:pPr>
      <w:r>
        <w:rPr>
          <w:rFonts w:hint="eastAsia" w:ascii="仿宋" w:hAnsi="仿宋" w:eastAsia="仿宋" w:cs="仿宋"/>
          <w:b/>
          <w:bCs/>
          <w:sz w:val="28"/>
          <w:szCs w:val="28"/>
          <w:lang w:val="en-US" w:eastAsia="zh-CN"/>
        </w:rPr>
        <w:t>签署日期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w:t>
      </w:r>
    </w:p>
    <w:p w14:paraId="727ECE3A">
      <w:pPr>
        <w:pStyle w:val="3"/>
        <w:spacing w:before="0" w:after="0" w:line="360" w:lineRule="auto"/>
        <w:jc w:val="center"/>
        <w:rPr>
          <w:rFonts w:hint="eastAsia" w:ascii="宋体" w:hAnsi="宋体" w:eastAsia="宋体" w:cs="宋体"/>
          <w:lang w:eastAsia="zh-CN"/>
        </w:rPr>
      </w:pPr>
      <w:r>
        <w:rPr>
          <w:rFonts w:hint="eastAsia" w:ascii="宋体" w:hAnsi="宋体" w:cs="宋体"/>
        </w:rPr>
        <w:t>合同条款</w:t>
      </w:r>
      <w:bookmarkEnd w:id="0"/>
      <w:bookmarkEnd w:id="1"/>
      <w:bookmarkEnd w:id="2"/>
      <w:r>
        <w:rPr>
          <w:rFonts w:hint="eastAsia" w:ascii="宋体" w:hAnsi="宋体" w:cs="宋体"/>
          <w:lang w:eastAsia="zh-CN"/>
        </w:rPr>
        <w:t>（</w:t>
      </w:r>
      <w:r>
        <w:rPr>
          <w:rFonts w:hint="eastAsia" w:ascii="宋体" w:hAnsi="宋体" w:cs="宋体"/>
          <w:lang w:val="en-US" w:eastAsia="zh-CN"/>
        </w:rPr>
        <w:t>格式</w:t>
      </w:r>
      <w:r>
        <w:rPr>
          <w:rFonts w:hint="eastAsia" w:ascii="宋体" w:hAnsi="宋体" w:cs="宋体"/>
          <w:lang w:eastAsia="zh-CN"/>
        </w:rPr>
        <w:t>）</w:t>
      </w:r>
    </w:p>
    <w:p w14:paraId="00B746DD">
      <w:pPr>
        <w:spacing w:line="480" w:lineRule="auto"/>
        <w:ind w:firstLine="480" w:firstLineChars="200"/>
        <w:rPr>
          <w:rFonts w:hint="eastAsia" w:ascii="黑体" w:hAnsi="黑体" w:eastAsia="黑体" w:cs="黑体"/>
          <w:lang w:val="en-US" w:eastAsia="zh-CN"/>
        </w:rPr>
      </w:pPr>
      <w:r>
        <w:rPr>
          <w:rFonts w:hint="eastAsia" w:ascii="黑体" w:hAnsi="黑体" w:eastAsia="黑体" w:cs="黑体"/>
        </w:rPr>
        <w:t>合同编号：</w:t>
      </w:r>
      <w:r>
        <w:rPr>
          <w:rFonts w:hint="eastAsia" w:ascii="黑体" w:hAnsi="黑体" w:eastAsia="黑体" w:cs="黑体"/>
          <w:u w:val="single"/>
          <w:lang w:val="en-US" w:eastAsia="zh-CN"/>
        </w:rPr>
        <w:t xml:space="preserve">                    </w:t>
      </w:r>
    </w:p>
    <w:p w14:paraId="4CA1501B">
      <w:pPr>
        <w:spacing w:line="480" w:lineRule="auto"/>
        <w:ind w:firstLine="480" w:firstLineChars="200"/>
        <w:rPr>
          <w:rFonts w:hint="eastAsia" w:ascii="黑体" w:hAnsi="黑体" w:eastAsia="黑体" w:cs="黑体"/>
        </w:rPr>
      </w:pPr>
      <w:r>
        <w:rPr>
          <w:rFonts w:hint="eastAsia" w:ascii="黑体" w:hAnsi="黑体" w:eastAsia="黑体" w:cs="黑体"/>
        </w:rPr>
        <w:t>签订地点：</w:t>
      </w:r>
      <w:r>
        <w:rPr>
          <w:rFonts w:hint="eastAsia" w:ascii="黑体" w:hAnsi="黑体" w:eastAsia="黑体" w:cs="黑体"/>
          <w:u w:val="single"/>
          <w:lang w:val="en-US" w:eastAsia="zh-CN"/>
        </w:rPr>
        <w:t xml:space="preserve">                    </w:t>
      </w:r>
    </w:p>
    <w:p w14:paraId="3F4C8B64">
      <w:pPr>
        <w:spacing w:line="480" w:lineRule="auto"/>
        <w:ind w:firstLine="480" w:firstLineChars="200"/>
        <w:rPr>
          <w:rFonts w:hint="eastAsia" w:ascii="黑体" w:hAnsi="黑体" w:eastAsia="黑体" w:cs="黑体"/>
          <w:szCs w:val="21"/>
        </w:rPr>
      </w:pPr>
      <w:r>
        <w:rPr>
          <w:rFonts w:hint="eastAsia" w:ascii="黑体" w:hAnsi="黑体" w:eastAsia="黑体" w:cs="黑体"/>
        </w:rPr>
        <w:t>签订时间：</w:t>
      </w:r>
      <w:r>
        <w:rPr>
          <w:rFonts w:hint="eastAsia" w:ascii="黑体" w:hAnsi="黑体" w:eastAsia="黑体" w:cs="黑体"/>
          <w:u w:val="single"/>
          <w:lang w:val="en-US" w:eastAsia="zh-CN"/>
        </w:rPr>
        <w:t xml:space="preserve">                    </w:t>
      </w:r>
    </w:p>
    <w:p w14:paraId="33B0EA39">
      <w:pPr>
        <w:spacing w:line="480" w:lineRule="auto"/>
        <w:ind w:firstLine="480" w:firstLineChars="200"/>
        <w:rPr>
          <w:rFonts w:hint="eastAsia" w:ascii="黑体" w:hAnsi="黑体" w:eastAsia="黑体" w:cs="黑体"/>
        </w:rPr>
      </w:pPr>
      <w:r>
        <w:rPr>
          <w:rFonts w:hint="eastAsia" w:ascii="黑体" w:hAnsi="黑体" w:eastAsia="黑体" w:cs="黑体"/>
        </w:rPr>
        <w:t>采购人（买方）：</w:t>
      </w:r>
      <w:r>
        <w:rPr>
          <w:rFonts w:hint="eastAsia" w:ascii="黑体" w:hAnsi="黑体" w:eastAsia="黑体" w:cs="黑体"/>
          <w:u w:val="single"/>
          <w:lang w:val="en-US" w:eastAsia="zh-CN"/>
        </w:rPr>
        <w:t xml:space="preserve">                    </w:t>
      </w:r>
    </w:p>
    <w:p w14:paraId="4A52AD79">
      <w:pPr>
        <w:spacing w:line="480" w:lineRule="auto"/>
        <w:ind w:firstLine="480" w:firstLineChars="200"/>
        <w:rPr>
          <w:rFonts w:hint="eastAsia" w:ascii="黑体" w:hAnsi="黑体" w:eastAsia="黑体" w:cs="黑体"/>
          <w:u w:val="single"/>
        </w:rPr>
      </w:pPr>
      <w:r>
        <w:rPr>
          <w:rFonts w:hint="eastAsia" w:ascii="黑体" w:hAnsi="黑体" w:eastAsia="黑体" w:cs="黑体"/>
        </w:rPr>
        <w:t>中标人（卖方）：</w:t>
      </w:r>
      <w:r>
        <w:rPr>
          <w:rFonts w:hint="eastAsia" w:ascii="黑体" w:hAnsi="黑体" w:eastAsia="黑体" w:cs="黑体"/>
          <w:u w:val="single"/>
          <w:lang w:val="en-US" w:eastAsia="zh-CN"/>
        </w:rPr>
        <w:t xml:space="preserve">                    </w:t>
      </w:r>
    </w:p>
    <w:p w14:paraId="1C52795F">
      <w:pPr>
        <w:spacing w:line="480" w:lineRule="auto"/>
        <w:rPr>
          <w:rFonts w:hint="eastAsia" w:ascii="黑体" w:hAnsi="黑体" w:eastAsia="黑体" w:cs="黑体"/>
          <w:szCs w:val="24"/>
        </w:rPr>
      </w:pPr>
      <w:r>
        <w:rPr>
          <w:rFonts w:hint="eastAsia" w:ascii="黑体" w:hAnsi="黑体" w:eastAsia="黑体" w:cs="黑体"/>
          <w:szCs w:val="24"/>
        </w:rPr>
        <w:t>一、供货合同格式</w:t>
      </w:r>
    </w:p>
    <w:p w14:paraId="2935D45B">
      <w:pPr>
        <w:widowControl/>
        <w:spacing w:line="480" w:lineRule="auto"/>
        <w:ind w:right="-226" w:rightChars="-94" w:firstLine="480" w:firstLineChars="200"/>
        <w:jc w:val="left"/>
        <w:rPr>
          <w:rFonts w:hint="eastAsia" w:ascii="黑体" w:hAnsi="黑体" w:eastAsia="黑体" w:cs="黑体"/>
          <w:kern w:val="0"/>
          <w:szCs w:val="24"/>
        </w:rPr>
      </w:pPr>
      <w:r>
        <w:rPr>
          <w:rFonts w:hint="eastAsia" w:ascii="黑体" w:hAnsi="黑体" w:eastAsia="黑体" w:cs="黑体"/>
          <w:u w:val="single"/>
          <w:lang w:val="en-US" w:eastAsia="zh-CN"/>
        </w:rPr>
        <w:t xml:space="preserve">                    </w:t>
      </w:r>
      <w:r>
        <w:rPr>
          <w:rFonts w:hint="eastAsia" w:ascii="黑体" w:hAnsi="黑体" w:eastAsia="黑体" w:cs="黑体"/>
          <w:szCs w:val="24"/>
        </w:rPr>
        <w:t>(项目名称)(采购编号：</w:t>
      </w:r>
      <w:r>
        <w:rPr>
          <w:rFonts w:hint="eastAsia" w:ascii="黑体" w:hAnsi="黑体" w:eastAsia="黑体" w:cs="黑体"/>
          <w:u w:val="single"/>
          <w:lang w:val="en-US" w:eastAsia="zh-CN"/>
        </w:rPr>
        <w:t xml:space="preserve">                    </w:t>
      </w:r>
      <w:r>
        <w:rPr>
          <w:rFonts w:hint="eastAsia" w:ascii="黑体" w:hAnsi="黑体" w:eastAsia="黑体" w:cs="黑体"/>
          <w:szCs w:val="24"/>
        </w:rPr>
        <w:t>)，在</w:t>
      </w:r>
      <w:r>
        <w:rPr>
          <w:rFonts w:hint="eastAsia" w:ascii="黑体" w:hAnsi="黑体" w:eastAsia="黑体" w:cs="黑体"/>
          <w:u w:val="single"/>
          <w:lang w:val="en-US" w:eastAsia="zh-CN"/>
        </w:rPr>
        <w:t xml:space="preserve">                      </w:t>
      </w:r>
      <w:r>
        <w:rPr>
          <w:rFonts w:hint="eastAsia" w:ascii="黑体" w:hAnsi="黑体" w:eastAsia="黑体" w:cs="黑体"/>
          <w:szCs w:val="24"/>
        </w:rPr>
        <w:t>财政局的监督管理</w:t>
      </w:r>
      <w:r>
        <w:rPr>
          <w:rFonts w:hint="eastAsia" w:ascii="黑体" w:hAnsi="黑体" w:eastAsia="黑体" w:cs="黑体"/>
          <w:kern w:val="0"/>
          <w:szCs w:val="24"/>
        </w:rPr>
        <w:t>下，由</w:t>
      </w:r>
      <w:r>
        <w:rPr>
          <w:rFonts w:hint="eastAsia" w:ascii="黑体" w:hAnsi="黑体" w:eastAsia="黑体" w:cs="黑体"/>
          <w:u w:val="single"/>
          <w:lang w:val="en-US" w:eastAsia="zh-CN"/>
        </w:rPr>
        <w:t xml:space="preserve">                    </w:t>
      </w:r>
      <w:r>
        <w:rPr>
          <w:rFonts w:hint="eastAsia" w:ascii="黑体" w:hAnsi="黑体" w:eastAsia="黑体" w:cs="黑体"/>
          <w:kern w:val="0"/>
          <w:szCs w:val="24"/>
        </w:rPr>
        <w:t>（代理公司）招标。</w:t>
      </w:r>
      <w:r>
        <w:rPr>
          <w:rFonts w:hint="eastAsia" w:ascii="黑体" w:hAnsi="黑体" w:eastAsia="黑体" w:cs="黑体"/>
          <w:szCs w:val="24"/>
        </w:rPr>
        <w:t>采购人</w:t>
      </w:r>
      <w:r>
        <w:rPr>
          <w:rFonts w:hint="eastAsia" w:ascii="黑体" w:hAnsi="黑体" w:eastAsia="黑体" w:cs="黑体"/>
          <w:kern w:val="0"/>
          <w:szCs w:val="24"/>
        </w:rPr>
        <w:t>(以下简称“买方”)确定(中标单位名称)（以下简称“卖方”）为中标单位。</w:t>
      </w:r>
    </w:p>
    <w:p w14:paraId="543B1429">
      <w:pPr>
        <w:spacing w:line="480" w:lineRule="auto"/>
        <w:ind w:right="240" w:rightChars="100" w:firstLine="480" w:firstLineChars="200"/>
        <w:rPr>
          <w:rFonts w:hint="eastAsia" w:ascii="黑体" w:hAnsi="黑体" w:eastAsia="黑体" w:cs="黑体"/>
          <w:kern w:val="0"/>
          <w:szCs w:val="24"/>
        </w:rPr>
      </w:pPr>
      <w:r>
        <w:rPr>
          <w:rFonts w:hint="eastAsia" w:ascii="黑体" w:hAnsi="黑体" w:eastAsia="黑体" w:cs="黑体"/>
          <w:kern w:val="0"/>
          <w:szCs w:val="24"/>
        </w:rPr>
        <w:t>依据《中华人民共和国</w:t>
      </w:r>
      <w:r>
        <w:rPr>
          <w:rFonts w:hint="eastAsia" w:ascii="黑体" w:hAnsi="黑体" w:eastAsia="黑体" w:cs="黑体"/>
          <w:kern w:val="0"/>
          <w:szCs w:val="24"/>
          <w:lang w:val="en-US" w:eastAsia="zh-CN"/>
        </w:rPr>
        <w:t>民法典</w:t>
      </w:r>
      <w:r>
        <w:rPr>
          <w:rFonts w:hint="eastAsia" w:ascii="黑体" w:hAnsi="黑体" w:eastAsia="黑体" w:cs="黑体"/>
          <w:kern w:val="0"/>
          <w:szCs w:val="24"/>
        </w:rPr>
        <w:t>》、《中华人民共和国政府采购法》《中华人民共和国政府采购法实施条例》，买方通过</w:t>
      </w:r>
      <w:r>
        <w:rPr>
          <w:rFonts w:hint="eastAsia" w:ascii="黑体" w:hAnsi="黑体" w:eastAsia="黑体" w:cs="黑体"/>
          <w:kern w:val="0"/>
          <w:szCs w:val="24"/>
          <w:lang w:val="en-US" w:eastAsia="zh-CN"/>
        </w:rPr>
        <w:t>公开招标</w:t>
      </w:r>
      <w:r>
        <w:rPr>
          <w:rFonts w:hint="eastAsia" w:ascii="黑体" w:hAnsi="黑体" w:eastAsia="黑体" w:cs="黑体"/>
          <w:kern w:val="0"/>
          <w:szCs w:val="24"/>
        </w:rPr>
        <w:t>采购</w:t>
      </w:r>
      <w:r>
        <w:rPr>
          <w:rFonts w:hint="eastAsia" w:ascii="黑体" w:hAnsi="黑体" w:eastAsia="黑体" w:cs="黑体"/>
          <w:kern w:val="0"/>
          <w:szCs w:val="24"/>
          <w:u w:val="single"/>
        </w:rPr>
        <w:t>（货物名称）</w:t>
      </w:r>
      <w:r>
        <w:rPr>
          <w:rFonts w:hint="eastAsia" w:ascii="黑体" w:hAnsi="黑体" w:eastAsia="黑体" w:cs="黑体"/>
          <w:kern w:val="0"/>
          <w:szCs w:val="24"/>
        </w:rPr>
        <w:t>，并接受了卖方以价格</w:t>
      </w:r>
      <w:r>
        <w:rPr>
          <w:rFonts w:hint="eastAsia" w:ascii="黑体" w:hAnsi="黑体" w:eastAsia="黑体" w:cs="黑体"/>
          <w:kern w:val="0"/>
          <w:szCs w:val="24"/>
          <w:u w:val="single"/>
        </w:rPr>
        <w:t>(中标金额大写)</w:t>
      </w:r>
      <w:r>
        <w:rPr>
          <w:rFonts w:hint="eastAsia" w:ascii="黑体" w:hAnsi="黑体" w:eastAsia="黑体" w:cs="黑体"/>
          <w:kern w:val="0"/>
          <w:szCs w:val="24"/>
        </w:rPr>
        <w:t>(以下简称“合同价”)提供的产品及服务。</w:t>
      </w:r>
    </w:p>
    <w:p w14:paraId="343C44AA">
      <w:pPr>
        <w:spacing w:line="480" w:lineRule="auto"/>
        <w:ind w:firstLine="480" w:firstLineChars="200"/>
        <w:rPr>
          <w:rFonts w:hint="eastAsia" w:ascii="黑体" w:hAnsi="黑体" w:eastAsia="黑体" w:cs="黑体"/>
          <w:szCs w:val="24"/>
        </w:rPr>
      </w:pPr>
      <w:bookmarkStart w:id="5" w:name="_Toc193187095"/>
      <w:bookmarkStart w:id="6" w:name="_Toc188808831"/>
      <w:bookmarkStart w:id="7" w:name="_Toc193126879"/>
      <w:bookmarkStart w:id="8" w:name="_Toc194663916"/>
      <w:r>
        <w:rPr>
          <w:rFonts w:hint="eastAsia" w:ascii="黑体" w:hAnsi="黑体" w:eastAsia="黑体" w:cs="黑体"/>
          <w:szCs w:val="24"/>
        </w:rPr>
        <w:t>本合同在此声明如下：</w:t>
      </w:r>
    </w:p>
    <w:p w14:paraId="5754E88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1、本合同中的词语和术语的含义与合同条款中定义的相同。</w:t>
      </w:r>
    </w:p>
    <w:p w14:paraId="36FD3BE6">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2、下述文件是本合同的一部分，并与本合同一起阅读和解释：</w:t>
      </w:r>
    </w:p>
    <w:p w14:paraId="26327F2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1）合同条款</w:t>
      </w:r>
      <w:bookmarkStart w:id="9" w:name="_GoBack"/>
      <w:bookmarkEnd w:id="9"/>
    </w:p>
    <w:p w14:paraId="71595320">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2）合同条款附件</w:t>
      </w:r>
    </w:p>
    <w:p w14:paraId="55D625D5">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附件1—设备清单</w:t>
      </w:r>
    </w:p>
    <w:p w14:paraId="7743886F">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附件2—售后服务方案</w:t>
      </w:r>
    </w:p>
    <w:p w14:paraId="07EE6476">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附件3—培训方案</w:t>
      </w:r>
    </w:p>
    <w:p w14:paraId="5F72BE2E">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3）中标通知书</w:t>
      </w:r>
    </w:p>
    <w:p w14:paraId="57323B4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4）招标文件</w:t>
      </w:r>
    </w:p>
    <w:p w14:paraId="79549483">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5）投标文件</w:t>
      </w:r>
    </w:p>
    <w:p w14:paraId="45744F0B">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3、考虑到买方将按照本合同向卖方支付货款，卖方在此保证全部按照合同的规定向买方提供货物和与货物有关的服务，并修补缺陷。</w:t>
      </w:r>
    </w:p>
    <w:p w14:paraId="57C5D9AC">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4、考虑到卖方提供的货物和与货物有关的服务并修补缺陷，买方在此保证按照合同规定的时间和方式向卖方支付合同价或其他按合同规定应支付的金额。</w:t>
      </w:r>
    </w:p>
    <w:p w14:paraId="4219675A">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5、付款方式：</w:t>
      </w:r>
    </w:p>
    <w:p w14:paraId="708F1D2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由双方签订采购合同时具体洽谈约定。</w:t>
      </w:r>
    </w:p>
    <w:p w14:paraId="22CFB07D">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rPr>
        <w:t>6、交货期：自合同签订后</w:t>
      </w:r>
      <w:r>
        <w:rPr>
          <w:rFonts w:hint="eastAsia" w:ascii="黑体" w:hAnsi="黑体" w:eastAsia="黑体" w:cs="黑体"/>
          <w:szCs w:val="24"/>
          <w:u w:val="single"/>
        </w:rPr>
        <w:t xml:space="preserve">    </w:t>
      </w:r>
      <w:r>
        <w:rPr>
          <w:rFonts w:hint="eastAsia" w:ascii="黑体" w:hAnsi="黑体" w:eastAsia="黑体" w:cs="黑体"/>
          <w:szCs w:val="24"/>
        </w:rPr>
        <w:t>个日历日。 交货地点：采购</w:t>
      </w:r>
      <w:r>
        <w:rPr>
          <w:rFonts w:hint="eastAsia" w:ascii="黑体" w:hAnsi="黑体" w:eastAsia="黑体" w:cs="黑体"/>
          <w:szCs w:val="24"/>
          <w:lang w:val="en-US" w:eastAsia="zh-CN"/>
        </w:rPr>
        <w:t>人指定地点。</w:t>
      </w:r>
    </w:p>
    <w:p w14:paraId="3A3F887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7、本合同一式伍份，其中，买方贰份，卖方贰份，财政局备案壹份。</w:t>
      </w:r>
    </w:p>
    <w:p w14:paraId="04661AA1">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kern w:val="0"/>
          <w:szCs w:val="24"/>
        </w:rPr>
        <w:t>8、本合同由买卖双方共同签字盖章，自最后一方签字盖章之日起生效。</w:t>
      </w:r>
      <w:bookmarkEnd w:id="5"/>
      <w:bookmarkEnd w:id="6"/>
      <w:bookmarkEnd w:id="7"/>
      <w:bookmarkEnd w:id="8"/>
    </w:p>
    <w:p w14:paraId="2FD36F9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采购人：</w:t>
      </w:r>
      <w:r>
        <w:rPr>
          <w:rFonts w:hint="eastAsia" w:ascii="黑体" w:hAnsi="黑体" w:eastAsia="黑体" w:cs="黑体"/>
          <w:sz w:val="24"/>
          <w:szCs w:val="32"/>
          <w:u w:val="single"/>
        </w:rPr>
        <w:t xml:space="preserve">   （盖章）     </w:t>
      </w:r>
      <w:r>
        <w:rPr>
          <w:rFonts w:hint="eastAsia" w:ascii="黑体" w:hAnsi="黑体" w:eastAsia="黑体" w:cs="黑体"/>
          <w:sz w:val="24"/>
          <w:szCs w:val="32"/>
        </w:rPr>
        <w:t xml:space="preserve">           供应商：</w:t>
      </w:r>
      <w:r>
        <w:rPr>
          <w:rFonts w:hint="eastAsia" w:ascii="黑体" w:hAnsi="黑体" w:eastAsia="黑体" w:cs="黑体"/>
          <w:sz w:val="24"/>
          <w:szCs w:val="32"/>
          <w:u w:val="single"/>
        </w:rPr>
        <w:t xml:space="preserve">   （盖章）    </w:t>
      </w:r>
    </w:p>
    <w:p w14:paraId="53495D69">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 xml:space="preserve">地址： </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地址： </w:t>
      </w:r>
      <w:r>
        <w:rPr>
          <w:rFonts w:hint="eastAsia" w:ascii="黑体" w:hAnsi="黑体" w:eastAsia="黑体" w:cs="黑体"/>
          <w:sz w:val="24"/>
          <w:szCs w:val="32"/>
          <w:u w:val="single"/>
        </w:rPr>
        <w:t xml:space="preserve">                      </w:t>
      </w:r>
    </w:p>
    <w:p w14:paraId="3B12BD89">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sz w:val="24"/>
          <w:szCs w:val="32"/>
        </w:rPr>
        <w:t>邮政编码：</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邮政编码：</w:t>
      </w:r>
      <w:r>
        <w:rPr>
          <w:rFonts w:hint="eastAsia" w:ascii="黑体" w:hAnsi="黑体" w:eastAsia="黑体" w:cs="黑体"/>
          <w:sz w:val="24"/>
          <w:szCs w:val="32"/>
          <w:u w:val="single"/>
        </w:rPr>
        <w:t xml:space="preserve">                  </w:t>
      </w:r>
    </w:p>
    <w:p w14:paraId="335EA086">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法定代表人或其授权                 法定代表人或其授权</w:t>
      </w:r>
    </w:p>
    <w:p w14:paraId="411CC62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的代理人：</w:t>
      </w:r>
      <w:r>
        <w:rPr>
          <w:rFonts w:hint="eastAsia" w:ascii="黑体" w:hAnsi="黑体" w:eastAsia="黑体" w:cs="黑体"/>
          <w:sz w:val="24"/>
          <w:szCs w:val="32"/>
          <w:u w:val="single"/>
        </w:rPr>
        <w:t xml:space="preserve">（签字）      </w:t>
      </w:r>
      <w:r>
        <w:rPr>
          <w:rFonts w:hint="eastAsia" w:ascii="黑体" w:hAnsi="黑体" w:eastAsia="黑体" w:cs="黑体"/>
          <w:sz w:val="24"/>
          <w:szCs w:val="32"/>
        </w:rPr>
        <w:t xml:space="preserve">           的代理人：</w:t>
      </w:r>
      <w:r>
        <w:rPr>
          <w:rFonts w:hint="eastAsia" w:ascii="黑体" w:hAnsi="黑体" w:eastAsia="黑体" w:cs="黑体"/>
          <w:sz w:val="24"/>
          <w:szCs w:val="32"/>
          <w:u w:val="single"/>
        </w:rPr>
        <w:t xml:space="preserve">（签字）          </w:t>
      </w:r>
    </w:p>
    <w:p w14:paraId="2DC5549C">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开户银行：</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开户银行：</w:t>
      </w:r>
      <w:r>
        <w:rPr>
          <w:rFonts w:hint="eastAsia" w:ascii="黑体" w:hAnsi="黑体" w:eastAsia="黑体" w:cs="黑体"/>
          <w:sz w:val="24"/>
          <w:szCs w:val="32"/>
          <w:u w:val="single"/>
        </w:rPr>
        <w:t xml:space="preserve">                  </w:t>
      </w:r>
    </w:p>
    <w:p w14:paraId="4E6F149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账号：</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账号：</w:t>
      </w:r>
      <w:r>
        <w:rPr>
          <w:rFonts w:hint="eastAsia" w:ascii="黑体" w:hAnsi="黑体" w:eastAsia="黑体" w:cs="黑体"/>
          <w:sz w:val="24"/>
          <w:szCs w:val="32"/>
          <w:u w:val="single"/>
        </w:rPr>
        <w:t xml:space="preserve">                       </w:t>
      </w:r>
    </w:p>
    <w:p w14:paraId="340C698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电话：</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电话：</w:t>
      </w:r>
      <w:r>
        <w:rPr>
          <w:rFonts w:hint="eastAsia" w:ascii="黑体" w:hAnsi="黑体" w:eastAsia="黑体" w:cs="黑体"/>
          <w:sz w:val="24"/>
          <w:szCs w:val="32"/>
          <w:u w:val="single"/>
        </w:rPr>
        <w:t xml:space="preserve">                       </w:t>
      </w:r>
    </w:p>
    <w:p w14:paraId="7F02336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传真：</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传真：</w:t>
      </w:r>
      <w:r>
        <w:rPr>
          <w:rFonts w:hint="eastAsia" w:ascii="黑体" w:hAnsi="黑体" w:eastAsia="黑体" w:cs="黑体"/>
          <w:sz w:val="24"/>
          <w:szCs w:val="32"/>
          <w:u w:val="single"/>
        </w:rPr>
        <w:t xml:space="preserve">                       </w:t>
      </w:r>
    </w:p>
    <w:p w14:paraId="38669A0F">
      <w:pPr>
        <w:adjustRightInd w:val="0"/>
        <w:snapToGrid w:val="0"/>
        <w:spacing w:line="480" w:lineRule="auto"/>
        <w:ind w:firstLine="475" w:firstLineChars="198"/>
        <w:rPr>
          <w:rFonts w:hint="eastAsia" w:ascii="黑体" w:hAnsi="黑体" w:eastAsia="黑体" w:cs="黑体"/>
          <w:sz w:val="24"/>
          <w:szCs w:val="32"/>
          <w:u w:val="single"/>
        </w:rPr>
      </w:pPr>
      <w:r>
        <w:rPr>
          <w:rFonts w:hint="eastAsia" w:ascii="黑体" w:hAnsi="黑体" w:eastAsia="黑体" w:cs="黑体"/>
          <w:sz w:val="24"/>
          <w:szCs w:val="32"/>
        </w:rPr>
        <w:t>电子邮箱：</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电子邮箱：</w:t>
      </w:r>
      <w:r>
        <w:rPr>
          <w:rFonts w:hint="eastAsia" w:ascii="黑体" w:hAnsi="黑体" w:eastAsia="黑体" w:cs="黑体"/>
          <w:sz w:val="24"/>
          <w:szCs w:val="32"/>
          <w:u w:val="single"/>
        </w:rPr>
        <w:t xml:space="preserve">                  </w:t>
      </w:r>
    </w:p>
    <w:p w14:paraId="22272CA6">
      <w:pPr>
        <w:spacing w:line="500" w:lineRule="exact"/>
        <w:rPr>
          <w:rFonts w:hint="eastAsia" w:ascii="宋体" w:hAnsi="宋体" w:cs="宋体"/>
          <w:szCs w:val="24"/>
        </w:rPr>
      </w:pPr>
    </w:p>
    <w:p w14:paraId="0A3D8835">
      <w:pPr>
        <w:spacing w:line="500" w:lineRule="exact"/>
        <w:rPr>
          <w:rFonts w:hint="eastAsia" w:ascii="黑体" w:hAnsi="黑体" w:eastAsia="黑体" w:cs="黑体"/>
          <w:szCs w:val="24"/>
        </w:rPr>
      </w:pPr>
      <w:r>
        <w:rPr>
          <w:rFonts w:hint="eastAsia" w:ascii="宋体" w:hAnsi="宋体" w:cs="宋体"/>
          <w:szCs w:val="24"/>
        </w:rPr>
        <w:br w:type="page"/>
      </w:r>
      <w:r>
        <w:rPr>
          <w:rFonts w:hint="eastAsia" w:ascii="黑体" w:hAnsi="黑体" w:eastAsia="黑体" w:cs="黑体"/>
          <w:szCs w:val="24"/>
        </w:rPr>
        <w:t>二、合同条款</w:t>
      </w:r>
    </w:p>
    <w:p w14:paraId="7A5DFFE8">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1、定义</w:t>
      </w:r>
    </w:p>
    <w:p w14:paraId="1D323CE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本合同下列术语应解释为：</w:t>
      </w:r>
    </w:p>
    <w:p w14:paraId="1FF5942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1-1、“合同”系指买卖双方签署的、合同格式中载明的买卖双方所达成的协议，包括所有的附件、附录和招标文件所提到的构成合同的所有文件。</w:t>
      </w:r>
    </w:p>
    <w:p w14:paraId="64896C3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1-2、“合同价”系指根据本合同规定卖方在正确地完全履行合同义务后买方应支付给卖方的价款。</w:t>
      </w:r>
    </w:p>
    <w:p w14:paraId="5AFEFFE4">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1-3、“货物”系指卖方根据本合同规定须向买方提供的一切产品、部件或其它材料。</w:t>
      </w:r>
    </w:p>
    <w:p w14:paraId="25576D8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1-4、“服务”系指根据本合同规定卖方承担与供货有关的辅助服务如运输、保险以及其它的伴随服务，例如调试、提供技术援助、培训和合同中规定卖方应承担的其它义务。</w:t>
      </w:r>
    </w:p>
    <w:p w14:paraId="0448F9E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1-5、“</w:t>
      </w:r>
      <w:r>
        <w:rPr>
          <w:rFonts w:hint="eastAsia" w:ascii="黑体" w:hAnsi="黑体" w:eastAsia="黑体" w:cs="黑体"/>
          <w:kern w:val="0"/>
          <w:szCs w:val="24"/>
        </w:rPr>
        <w:t>项目现场”系指本合同项下货物运行的场地。</w:t>
      </w:r>
    </w:p>
    <w:p w14:paraId="03E38E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1-6、“合同条款”系指本合同条款。</w:t>
      </w:r>
    </w:p>
    <w:p w14:paraId="0D36759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1-7、“买方”是指购买货物的单位即</w:t>
      </w:r>
      <w:r>
        <w:rPr>
          <w:rFonts w:hint="eastAsia" w:ascii="黑体" w:hAnsi="黑体" w:eastAsia="黑体" w:cs="黑体"/>
          <w:szCs w:val="24"/>
          <w:u w:val="single"/>
          <w:lang w:eastAsia="zh-CN"/>
        </w:rPr>
        <w:t>（</w:t>
      </w:r>
      <w:r>
        <w:rPr>
          <w:rFonts w:hint="eastAsia" w:ascii="黑体" w:hAnsi="黑体" w:eastAsia="黑体" w:cs="黑体"/>
          <w:szCs w:val="24"/>
          <w:u w:val="single"/>
          <w:lang w:val="en-US" w:eastAsia="zh-CN"/>
        </w:rPr>
        <w:t>采购单位</w:t>
      </w:r>
      <w:r>
        <w:rPr>
          <w:rFonts w:hint="eastAsia" w:ascii="黑体" w:hAnsi="黑体" w:eastAsia="黑体" w:cs="黑体"/>
          <w:szCs w:val="24"/>
          <w:u w:val="single"/>
          <w:lang w:eastAsia="zh-CN"/>
        </w:rPr>
        <w:t>）</w:t>
      </w:r>
      <w:r>
        <w:rPr>
          <w:rFonts w:hint="eastAsia" w:ascii="黑体" w:hAnsi="黑体" w:eastAsia="黑体" w:cs="黑体"/>
          <w:szCs w:val="24"/>
        </w:rPr>
        <w:t>。</w:t>
      </w:r>
    </w:p>
    <w:p w14:paraId="2C3B97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1-8、“卖方”是指提供本合同内的货物的法人或其他组织即中标人。</w:t>
      </w:r>
    </w:p>
    <w:p w14:paraId="1663F5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1-9、“天”指日历天数。</w:t>
      </w:r>
    </w:p>
    <w:p w14:paraId="7233A96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2、适用性</w:t>
      </w:r>
    </w:p>
    <w:p w14:paraId="5EEFCAF1">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本合同条款适用于没有被本项目招标文件规定条款、卖方的投标文件承诺条款所取代的范围。</w:t>
      </w:r>
    </w:p>
    <w:p w14:paraId="383821F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w:t>
      </w:r>
      <w:r>
        <w:rPr>
          <w:rFonts w:hint="eastAsia" w:ascii="黑体" w:hAnsi="黑体" w:eastAsia="黑体" w:cs="黑体"/>
          <w:szCs w:val="24"/>
        </w:rPr>
        <w:t>使用合同文件和资料</w:t>
      </w:r>
    </w:p>
    <w:p w14:paraId="6C699FE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CEC34E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3-2、没有买方事先书面同意，除了履行本合同之外，卖方不应使用合同条款第3-1条所列举的任何文件和资料。</w:t>
      </w:r>
    </w:p>
    <w:p w14:paraId="3EFC567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3-3、除了合同本身以外，合同条款第3-1条所列举的任何文件是买方的财产。如果买方有要求，卖方在完成合同后应将这些文件及全部复制件还给买方。</w:t>
      </w:r>
    </w:p>
    <w:p w14:paraId="24DF768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4、专利权</w:t>
      </w:r>
    </w:p>
    <w:p w14:paraId="6423353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卖方应保证，买方在使用该产品或产品的任何一部分，免受第三方提出的侵犯（其专利权）、商标权、著作权或其它知识产权的起诉。</w:t>
      </w:r>
    </w:p>
    <w:p w14:paraId="31AFF2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5、技术规格</w:t>
      </w:r>
    </w:p>
    <w:p w14:paraId="0553AA0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07407C0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6、检验和测试</w:t>
      </w:r>
    </w:p>
    <w:p w14:paraId="6223893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BF93F2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6-2、检验和测试在买方指定的交货地点进行。</w:t>
      </w:r>
    </w:p>
    <w:p w14:paraId="1D02251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6-3、如果任何被检验或测试的产品或部件不能满足招标文件及合同的要求，买方可以拒绝接受该产品或部件，卖方应更换被拒绝的产品或部件，或者免费进行必要的修改以满足规格的要求。</w:t>
      </w:r>
    </w:p>
    <w:p w14:paraId="0996BB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4A5FBCB">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6-5、如果在产品使用寿命期内，根据检验结果，发现产品的质量或规格与合同要求不符，或被证实有缺陷，包含潜在的缺陷或使用不合适的材料，买方应向卖方提出索赔。</w:t>
      </w:r>
    </w:p>
    <w:p w14:paraId="096D837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7、包装及运输</w:t>
      </w:r>
    </w:p>
    <w:p w14:paraId="7C1E8AF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7-1、卖方负责货物到达交货地点前的所有包装、运输、装卸及保险事项，相关费用应包括在合同总价中。</w:t>
      </w:r>
    </w:p>
    <w:p w14:paraId="0E882B4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9E5EB4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7-3、货物的运输方式由卖方自行选择，但包装必须满足货物运输和装卸的要求，保证买方收到的是无任何损伤的货物。否则，因此造成的损失由卖方自行承担。</w:t>
      </w:r>
    </w:p>
    <w:p w14:paraId="534593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8、伴随服务</w:t>
      </w:r>
    </w:p>
    <w:p w14:paraId="2CFD9D0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8-1、卖方必须在合同生效后三十 (30)天内向买方提交所供货物的技术文件（中文技术文件），例如：产品说明、图纸、操作手册、使用说明、维护手册和／或服务指南等。</w:t>
      </w:r>
    </w:p>
    <w:p w14:paraId="627C6DBF">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8-2、卖方应向买方提供下列所有服务，包括本项目招标文件“商务条款”与“技术规格与要求”中规定的附加服务（如果有的话）：</w:t>
      </w:r>
    </w:p>
    <w:p w14:paraId="5A1A8C11">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（1）实施或监督所供货物的现场组装 和/或 试运行；</w:t>
      </w:r>
    </w:p>
    <w:p w14:paraId="2EEF57A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（2）提供货物组装 和/或 维修所需的工具；</w:t>
      </w:r>
    </w:p>
    <w:p w14:paraId="3E9EDC5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（3）为所供货物的每一适当的单台设备提供详细的操作和维护手册；</w:t>
      </w:r>
    </w:p>
    <w:p w14:paraId="1C7ABF8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（4）在双方商定的一定期限内对所供货物实施运行或监督或维护或修理，但前提条件是该服务并不能免除卖方在合同保证期内所承担的义务；</w:t>
      </w:r>
    </w:p>
    <w:p w14:paraId="746BB71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（5）在卖方或制造厂和/或在项目现场就所供货物的组装、试运行、运行、维护和/或修理、软硬件升级对买方人员进行培训。</w:t>
      </w:r>
    </w:p>
    <w:p w14:paraId="617A2AE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8-3、卖方应提供本项目招标文件“商务条款”和“技术规格与要求”中规定的所有服务。为履行要求的伴随服务的报价或双方商定的费用应包括在合同价中。</w:t>
      </w:r>
    </w:p>
    <w:p w14:paraId="13CC7A8A">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8-4、如果卖方或制造厂提供的伴随服务的费用未含在货物的合同价中，双方应事先就其达成协议，但其费用单价不应超过卖方向其他人提供类似服务所收取的现行单价。</w:t>
      </w:r>
    </w:p>
    <w:p w14:paraId="7CEB230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9、备品备件</w:t>
      </w:r>
    </w:p>
    <w:p w14:paraId="46D8072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9-1、卖方可能被要求提供下列与备品备件有关的材料、通知和资料：</w:t>
      </w:r>
    </w:p>
    <w:p w14:paraId="6DEC456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（1）买方从卖方选购备品备件，但前提条件是该选择并不能免除卖方在合同保证期内所承担的义务；</w:t>
      </w:r>
    </w:p>
    <w:p w14:paraId="701E6B1A">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（2）在备品备件停止生产的情况下，卖方应事先将要停止生产的计划通知买方使买方有足够的时间采购所需的备品备件；</w:t>
      </w:r>
    </w:p>
    <w:p w14:paraId="6A11BCF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（3）在备品备件停止生产后，如果买方要求，卖方应免费向买方提供备品备件的蓝图、图纸和规格。</w:t>
      </w:r>
    </w:p>
    <w:p w14:paraId="7EF82FD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9-2、卖方应按照本项目招标文件“商务条款”和“技术规格与要求”中的规定提供所需的备品备件。</w:t>
      </w:r>
    </w:p>
    <w:p w14:paraId="010DC25B">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10、质量保证</w:t>
      </w:r>
    </w:p>
    <w:p w14:paraId="708736A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10-1、质量保证期为终验合格之日起</w:t>
      </w:r>
      <w:r>
        <w:rPr>
          <w:rFonts w:hint="eastAsia" w:ascii="黑体" w:hAnsi="黑体" w:eastAsia="黑体" w:cs="黑体"/>
          <w:kern w:val="0"/>
          <w:szCs w:val="24"/>
          <w:u w:val="single"/>
        </w:rPr>
        <w:t xml:space="preserve">   </w:t>
      </w:r>
      <w:r>
        <w:rPr>
          <w:rFonts w:hint="eastAsia" w:ascii="黑体" w:hAnsi="黑体" w:eastAsia="黑体" w:cs="黑体"/>
          <w:kern w:val="0"/>
          <w:szCs w:val="24"/>
        </w:rPr>
        <w:t>个月。</w:t>
      </w:r>
    </w:p>
    <w:p w14:paraId="235EAAE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14:paraId="4DDC4503">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10-3、根据检验结果或者在质量保证期内，如果货物的数量、质量或规格与合同不符，或证实货物是有缺陷的，包括潜在的缺陷，买方应尽快以书面形式向卖方提出所发现的缺陷。</w:t>
      </w:r>
    </w:p>
    <w:p w14:paraId="2951712C">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10-4、卖方收到通知后应在招标文件规定的时间内以合理的速度免费维修或更换有缺陷的货物或部件。</w:t>
      </w:r>
    </w:p>
    <w:p w14:paraId="5B40340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7B3BA1CB">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11、索赔</w:t>
      </w:r>
    </w:p>
    <w:p w14:paraId="00AA8C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11-1、如果卖方对偏差负有责任，而买方在调试、验收和质量保证期内提出了索赔，卖方应按照买方同意的下列一种或几种方式结合起来解决索赔事宜：</w:t>
      </w:r>
    </w:p>
    <w:p w14:paraId="542C0D9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90E677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（2）根据货物的偏差情况、损坏程度、以及买方所遭受损失的金额，经买卖双方商定降低货物的价格。</w:t>
      </w:r>
    </w:p>
    <w:p w14:paraId="76FD502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69F49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BB9924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12、变更指令</w:t>
      </w:r>
    </w:p>
    <w:p w14:paraId="348DA4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12-1、买方可以在任何时候书面向卖方发出指令，在本合同的一般范围内变更下述一项或几项：</w:t>
      </w:r>
    </w:p>
    <w:p w14:paraId="656BEAAF">
      <w:pPr>
        <w:autoSpaceDN w:val="0"/>
        <w:adjustRightInd w:val="0"/>
        <w:spacing w:line="500" w:lineRule="exact"/>
        <w:ind w:firstLine="480" w:firstLineChars="200"/>
        <w:rPr>
          <w:rFonts w:hint="eastAsia" w:ascii="黑体" w:hAnsi="黑体" w:eastAsia="黑体" w:cs="黑体"/>
          <w:spacing w:val="-4"/>
          <w:kern w:val="0"/>
          <w:szCs w:val="24"/>
        </w:rPr>
      </w:pPr>
      <w:r>
        <w:rPr>
          <w:rFonts w:hint="eastAsia" w:ascii="黑体" w:hAnsi="黑体" w:eastAsia="黑体" w:cs="黑体"/>
          <w:kern w:val="0"/>
          <w:szCs w:val="24"/>
        </w:rPr>
        <w:t>（1）</w:t>
      </w:r>
      <w:r>
        <w:rPr>
          <w:rFonts w:hint="eastAsia" w:ascii="黑体" w:hAnsi="黑体" w:eastAsia="黑体" w:cs="黑体"/>
          <w:spacing w:val="-4"/>
          <w:kern w:val="0"/>
          <w:szCs w:val="24"/>
        </w:rPr>
        <w:t>本合同项下提供的货物是专为买方制造时，变更图纸、设计或规格；</w:t>
      </w:r>
    </w:p>
    <w:p w14:paraId="1432F9C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（2）运输或包装的方法；</w:t>
      </w:r>
    </w:p>
    <w:p w14:paraId="1F110F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（3）交货地点；</w:t>
      </w:r>
    </w:p>
    <w:p w14:paraId="28F7FC8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（4）卖方提供的服务。</w:t>
      </w:r>
    </w:p>
    <w:p w14:paraId="555AC641">
      <w:pPr>
        <w:autoSpaceDN w:val="0"/>
        <w:adjustRightInd w:val="0"/>
        <w:spacing w:line="500" w:lineRule="exact"/>
        <w:ind w:firstLine="464" w:firstLineChars="200"/>
        <w:rPr>
          <w:rFonts w:hint="eastAsia" w:ascii="黑体" w:hAnsi="黑体" w:eastAsia="黑体" w:cs="黑体"/>
          <w:kern w:val="0"/>
          <w:szCs w:val="24"/>
        </w:rPr>
      </w:pPr>
      <w:r>
        <w:rPr>
          <w:rFonts w:hint="eastAsia" w:ascii="黑体" w:hAnsi="黑体" w:eastAsia="黑体" w:cs="黑体"/>
          <w:spacing w:val="-4"/>
          <w:kern w:val="0"/>
          <w:szCs w:val="24"/>
        </w:rPr>
        <w:t>12-2、</w:t>
      </w:r>
      <w:r>
        <w:rPr>
          <w:rFonts w:hint="eastAsia" w:ascii="黑体" w:hAnsi="黑体" w:eastAsia="黑体" w:cs="黑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9EAE1A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13、合同修改</w:t>
      </w:r>
    </w:p>
    <w:p w14:paraId="0D11887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除了合同条款第12条的情况，不应对合同条款进行任何变更或修改，除非双方同意并签订书面的合同修改书。</w:t>
      </w:r>
    </w:p>
    <w:p w14:paraId="6203905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14、转让</w:t>
      </w:r>
    </w:p>
    <w:p w14:paraId="0DACC8E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未经买方事先书面同意，卖方不得部分转让或全部转让其应履行的合同义务。</w:t>
      </w:r>
    </w:p>
    <w:p w14:paraId="4F769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15、卖方履约延误</w:t>
      </w:r>
    </w:p>
    <w:p w14:paraId="3D5D87F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15-1、卖方应按照本项目招标文件“商务条款”中规定的交货时间交货和提供服务。</w:t>
      </w:r>
    </w:p>
    <w:p w14:paraId="3BD6C83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AFEE4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15-3、除合同条款第20条规定的情况外,除非拖延是根据合同条款第15-2条的规定取得同意而不收取误期赔偿费之外，卖方延误交货，将按合同条款第17条的规定被收取误期赔偿费。</w:t>
      </w:r>
    </w:p>
    <w:p w14:paraId="5BCDF9A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16、验收</w:t>
      </w:r>
    </w:p>
    <w:p w14:paraId="11474D7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16-1、项目验收分初验和终验：</w:t>
      </w:r>
    </w:p>
    <w:p w14:paraId="7B9B57E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初验：货物到达交货地点后，由使用单位根据合同对货物的名称、</w:t>
      </w:r>
      <w:r>
        <w:rPr>
          <w:rFonts w:hint="eastAsia" w:ascii="黑体" w:hAnsi="黑体" w:eastAsia="黑体" w:cs="黑体"/>
          <w:szCs w:val="24"/>
          <w:lang w:val="en-US" w:eastAsia="zh-CN"/>
        </w:rPr>
        <w:t>品种</w:t>
      </w:r>
      <w:r>
        <w:rPr>
          <w:rFonts w:hint="eastAsia" w:ascii="黑体" w:hAnsi="黑体" w:eastAsia="黑体" w:cs="黑体"/>
          <w:szCs w:val="24"/>
        </w:rPr>
        <w:t>、规格、产地、数量进行检查。</w:t>
      </w:r>
    </w:p>
    <w:p w14:paraId="0FCD71F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终验：所有货物</w:t>
      </w:r>
      <w:r>
        <w:rPr>
          <w:rFonts w:hint="eastAsia" w:ascii="黑体" w:hAnsi="黑体" w:eastAsia="黑体" w:cs="黑体"/>
          <w:szCs w:val="24"/>
          <w:lang w:val="en-US" w:eastAsia="zh-CN"/>
        </w:rPr>
        <w:t>交货</w:t>
      </w:r>
      <w:r>
        <w:rPr>
          <w:rFonts w:hint="eastAsia" w:ascii="黑体" w:hAnsi="黑体" w:eastAsia="黑体" w:cs="黑体"/>
          <w:szCs w:val="24"/>
        </w:rPr>
        <w:t>完毕，由采购人进行终验（最终验收）。</w:t>
      </w:r>
    </w:p>
    <w:p w14:paraId="25767D8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3C7D9DBF">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16-3、验收依据</w:t>
      </w:r>
    </w:p>
    <w:p w14:paraId="6C8C06A4">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（1）合同文本及合同补充文件（条款）；</w:t>
      </w:r>
    </w:p>
    <w:p w14:paraId="61FA0E1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（2）产品的合法来源渠道证明文件、响应功能证明材料；</w:t>
      </w:r>
    </w:p>
    <w:p w14:paraId="37E0750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（3）招标文件；</w:t>
      </w:r>
    </w:p>
    <w:p w14:paraId="14AFA9FB">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（4）中标人的投标文件；</w:t>
      </w:r>
    </w:p>
    <w:p w14:paraId="3DDFECE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（5）货物清单。</w:t>
      </w:r>
    </w:p>
    <w:p w14:paraId="18A13B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17、误期赔偿费</w:t>
      </w:r>
    </w:p>
    <w:p w14:paraId="06FB83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szCs w:val="24"/>
        </w:rPr>
        <w:t>除合同条款第19条规定的情况外，如果卖方没有按照合同规定的时间交货和提供服务，买方应在不影响</w:t>
      </w:r>
      <w:r>
        <w:rPr>
          <w:rFonts w:hint="eastAsia" w:ascii="黑体" w:hAnsi="黑体" w:eastAsia="黑体" w:cs="黑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8268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18、违约终止合同</w:t>
      </w:r>
    </w:p>
    <w:p w14:paraId="768C73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18-1、在买方对卖方违约而采取的任何补救措施不受影响的情况下，买方可向卖方发出书面违约通知书，提出终止部分或全部合同：</w:t>
      </w:r>
    </w:p>
    <w:p w14:paraId="60C8E33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（1）如果卖方未能在合同规定的期限内或买方根据合同条款第15.2条的规定同意延长的期限内提供部分或全部货物；或</w:t>
      </w:r>
      <w:r>
        <w:rPr>
          <w:rFonts w:hint="eastAsia" w:ascii="黑体" w:hAnsi="黑体" w:eastAsia="黑体" w:cs="黑体"/>
          <w:szCs w:val="24"/>
        </w:rPr>
        <w:t>误期赔偿费达到最高限额。</w:t>
      </w:r>
    </w:p>
    <w:p w14:paraId="7E2F4B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（2）如果卖方未能履行合同规定的其它任何义务。</w:t>
      </w:r>
    </w:p>
    <w:p w14:paraId="2EB8F3B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（3）如果买方认为卖方在本合同的竞争和实施过程中有腐败和欺诈行为。为此目的，定义下述条件：</w:t>
      </w:r>
    </w:p>
    <w:p w14:paraId="0C5C8C9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“腐败行为”是指提供、给予、接受或索取任何有价值的物品来影响买方在采购过程或合同实施过程中的行为。</w:t>
      </w:r>
    </w:p>
    <w:p w14:paraId="472914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“欺诈行为”是指为了影响采购过程或合同实施过程而谎报或隐瞒事实，损害买方利益的行为。</w:t>
      </w:r>
    </w:p>
    <w:p w14:paraId="374CE61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E82571B">
      <w:pPr>
        <w:tabs>
          <w:tab w:val="left" w:pos="5700"/>
        </w:tabs>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19、不可抗力</w:t>
      </w:r>
    </w:p>
    <w:p w14:paraId="35E76B2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82EE7F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E052CF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19-3、因合同一方迟延履行合同后发生不可抗力的，不能免除迟延履行方的相应责任。</w:t>
      </w:r>
    </w:p>
    <w:p w14:paraId="31E030B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20、因破产而终止合同</w:t>
      </w:r>
    </w:p>
    <w:p w14:paraId="1AC854D2">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7853D9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21、因买方的便利而终止合同</w:t>
      </w:r>
    </w:p>
    <w:p w14:paraId="6438BED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21-1、买方可在任何时候出于自身的便利向卖方发出书面通知全部或部分终止合同，终止通知应明确该终止合同是出于买方的便利，并明确合同终止的程度，以及终止的生效日期。</w:t>
      </w:r>
    </w:p>
    <w:p w14:paraId="548DF2B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21-2、对卖方收到终止通知后三十（30）天内已完成并准备装运的货物，买方应按原合同价格和条款予以接收，对于剩下的货物，买方可：</w:t>
      </w:r>
    </w:p>
    <w:p w14:paraId="07A9309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（1）仅对部分货物按照原来的合同价格和条款予以接受；</w:t>
      </w:r>
    </w:p>
    <w:p w14:paraId="1E3784B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（2）取消对所剩货物的采购，并按双方商定的金额向卖方支付部分完成的货物和与货物有关的服务以及卖方以前已采购的材料和部件的费用。</w:t>
      </w:r>
    </w:p>
    <w:p w14:paraId="40E1E2F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22、争议的解决</w:t>
      </w:r>
    </w:p>
    <w:p w14:paraId="61D74BA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因执行本合同所发生的或与本合同有关的一切争议,双方应通过友好协商解决。如果协商开始后六十（60）天还不能解决，双方可依以下一种方式解决：</w:t>
      </w:r>
    </w:p>
    <w:p w14:paraId="160470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22-1、双方达成仲裁协议，向约定的仲裁委员会申请仲裁。</w:t>
      </w:r>
    </w:p>
    <w:p w14:paraId="41F7750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22-2、向有管辖权的人民法院起诉。</w:t>
      </w:r>
    </w:p>
    <w:p w14:paraId="61EF4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23、适用法律</w:t>
      </w:r>
    </w:p>
    <w:p w14:paraId="140E93C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本合同应按照中华人民共和国的现行法律进行解释。</w:t>
      </w:r>
    </w:p>
    <w:p w14:paraId="67EE8B04">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24、通知</w:t>
      </w:r>
    </w:p>
    <w:p w14:paraId="7AEABCC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24-1、本合同一方给对方的通知应用书面形式送到合同专用条款中规定的对方的地址。传真要经书面确认。</w:t>
      </w:r>
    </w:p>
    <w:p w14:paraId="3216A7F3">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24-2、通知以送到日期或通知书的生效日期为生效日期，两者中以晚的一个日期为准。</w:t>
      </w:r>
    </w:p>
    <w:p w14:paraId="3B54BBB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25、税款</w:t>
      </w:r>
    </w:p>
    <w:p w14:paraId="5450B8C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25-1、按照中华人民共和国税法和有关部门的规定，买方需交纳的与本合同有关的一切税费均应由买方负担。</w:t>
      </w:r>
    </w:p>
    <w:p w14:paraId="0D62D04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25-2、按照中华人民共和国税法和有关部门的规定，卖方需交纳的与本合同有关的一切税费均应由卖方负担。</w:t>
      </w:r>
    </w:p>
    <w:p w14:paraId="384CF0A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26、合同生效</w:t>
      </w:r>
    </w:p>
    <w:p w14:paraId="36A05168">
      <w:pPr>
        <w:adjustRightInd w:val="0"/>
        <w:snapToGri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本合同由买卖双方共同签字盖章，自最后一方签字盖章之日起生效。</w:t>
      </w:r>
    </w:p>
    <w:p w14:paraId="13BE3B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YjIyOGFlODRiMDg1NTMxMmFjMDhjODcwNTc5N2IifQ=="/>
  </w:docVars>
  <w:rsids>
    <w:rsidRoot w:val="60E27736"/>
    <w:rsid w:val="00EC70AF"/>
    <w:rsid w:val="072B7208"/>
    <w:rsid w:val="0DBC6E0C"/>
    <w:rsid w:val="0DBF68FD"/>
    <w:rsid w:val="12DE7825"/>
    <w:rsid w:val="13A740BB"/>
    <w:rsid w:val="18357EE7"/>
    <w:rsid w:val="1CEC0D90"/>
    <w:rsid w:val="2E6558F5"/>
    <w:rsid w:val="340F5638"/>
    <w:rsid w:val="34711E4F"/>
    <w:rsid w:val="38433B03"/>
    <w:rsid w:val="388C54AA"/>
    <w:rsid w:val="3BED44B1"/>
    <w:rsid w:val="3EF50BAE"/>
    <w:rsid w:val="41B35453"/>
    <w:rsid w:val="436F1C50"/>
    <w:rsid w:val="45E85CE9"/>
    <w:rsid w:val="4E173F13"/>
    <w:rsid w:val="532C36B9"/>
    <w:rsid w:val="53B06098"/>
    <w:rsid w:val="53FC12DE"/>
    <w:rsid w:val="55083CB2"/>
    <w:rsid w:val="55676C2B"/>
    <w:rsid w:val="556E7FB9"/>
    <w:rsid w:val="58906498"/>
    <w:rsid w:val="5B1038C0"/>
    <w:rsid w:val="5B353327"/>
    <w:rsid w:val="60832885"/>
    <w:rsid w:val="60E27736"/>
    <w:rsid w:val="68D75A1D"/>
    <w:rsid w:val="6A4D41E9"/>
    <w:rsid w:val="6D94212F"/>
    <w:rsid w:val="72B648F6"/>
    <w:rsid w:val="72CC4119"/>
    <w:rsid w:val="780B7492"/>
    <w:rsid w:val="78947487"/>
    <w:rsid w:val="7B44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 w:val="21"/>
    </w:rPr>
  </w:style>
  <w:style w:type="paragraph" w:styleId="5">
    <w:name w:val="index 6"/>
    <w:basedOn w:val="1"/>
    <w:next w:val="1"/>
    <w:qFormat/>
    <w:uiPriority w:val="0"/>
    <w:pPr>
      <w:ind w:left="2100"/>
    </w:pPr>
    <w:rPr>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ahoma" w:hAnsi="Tahom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6139</Words>
  <Characters>6329</Characters>
  <Lines>0</Lines>
  <Paragraphs>0</Paragraphs>
  <TotalTime>5</TotalTime>
  <ScaleCrop>false</ScaleCrop>
  <LinksUpToDate>false</LinksUpToDate>
  <CharactersWithSpaces>7126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2024-06-14T03:02:00Z</dcterms:created>
  <dc:creator> </dc:creator>
  <cp:lastModifiedBy> </cp:lastModifiedBy>
  <dcterms:modified xsi:type="dcterms:W3CDTF">2025-07-16T08:30:42Z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B1C1384F05564061A8CFB3EED65354F5_11</vt:lpwstr>
  </property>
  <property fmtid="{D5CDD505-2E9C-101B-9397-08002B2CF9AE}" pid="4" name="KSOTemplateDocerSaveRecord">
    <vt:lpwstr>eyJoZGlkIjoiNjQwYjIyOGFlODRiMDg1NTMxMmFjMDhjODcwNTc5N2IiLCJ1c2VySWQiOiIzOTAwNzEwNjYifQ==</vt:lpwstr>
  </property>
</Properties>
</file>