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版本号：ZC-HJL2025-01420250716001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铜川市营商环境优化提升项目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ZC-HJL2025-014</w:t>
      </w:r>
      <w:r>
        <w:br/>
      </w:r>
      <w:r>
        <w:br/>
      </w:r>
      <w:r>
        <w:br/>
      </w:r>
    </w:p>
    <w:p>
      <w:pPr>
        <w:pStyle w:val="null3"/>
        <w:jc w:val="center"/>
        <w:outlineLvl w:val="2"/>
      </w:pPr>
      <w:r>
        <w:rPr>
          <w:rFonts w:ascii="仿宋_GB2312" w:hAnsi="仿宋_GB2312" w:cs="仿宋_GB2312" w:eastAsia="仿宋_GB2312"/>
          <w:sz w:val="28"/>
          <w:b/>
        </w:rPr>
        <w:t>铜川市发展和改革委员会</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铜川市发展和改革委员会</w:t>
      </w:r>
      <w:r>
        <w:rPr>
          <w:rFonts w:ascii="仿宋_GB2312" w:hAnsi="仿宋_GB2312" w:cs="仿宋_GB2312" w:eastAsia="仿宋_GB2312"/>
        </w:rPr>
        <w:t>委托，拟对</w:t>
      </w:r>
      <w:r>
        <w:rPr>
          <w:rFonts w:ascii="仿宋_GB2312" w:hAnsi="仿宋_GB2312" w:cs="仿宋_GB2312" w:eastAsia="仿宋_GB2312"/>
        </w:rPr>
        <w:t>铜川市营商环境优化提升项目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ZC-HJL2025-014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铜川市营商环境优化提升项目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由铜川市发展和改革委员会牵头，与专业咨询机构合作开展优化营商环境提升工作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采购包1（铜川市营商环境优化提升项目）：属于专门面向中小企业采购。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1、具有独立承担民事责任的能力的相关证明：供应商为合法注册的法人或其他组织或自然人，提供营业执照（或事业法人证）；自然人提供身份证明；</w:t>
      </w:r>
    </w:p>
    <w:p>
      <w:pPr>
        <w:pStyle w:val="null3"/>
      </w:pPr>
      <w:r>
        <w:rPr>
          <w:rFonts w:ascii="仿宋_GB2312" w:hAnsi="仿宋_GB2312" w:cs="仿宋_GB2312" w:eastAsia="仿宋_GB2312"/>
        </w:rPr>
        <w:t>2、授权合法的人参加采购：法定代表人授权书及被授权人身份证（法定代表人直接参与，只须提交其身份证明）</w:t>
      </w:r>
    </w:p>
    <w:p>
      <w:pPr>
        <w:pStyle w:val="null3"/>
      </w:pPr>
      <w:r>
        <w:rPr>
          <w:rFonts w:ascii="仿宋_GB2312" w:hAnsi="仿宋_GB2312" w:cs="仿宋_GB2312" w:eastAsia="仿宋_GB2312"/>
        </w:rPr>
        <w:t>3、财务状况：供应商提供2021--2024年度任意一年经会计事务所或审计机构审计的完整的财务审计报告或在磋商截止时间前三个月内其开户银行出具的资信证明（附开户许可证或基本账户存款信息）</w:t>
      </w:r>
    </w:p>
    <w:p>
      <w:pPr>
        <w:pStyle w:val="null3"/>
      </w:pPr>
      <w:r>
        <w:rPr>
          <w:rFonts w:ascii="仿宋_GB2312" w:hAnsi="仿宋_GB2312" w:cs="仿宋_GB2312" w:eastAsia="仿宋_GB2312"/>
        </w:rPr>
        <w:t>4、税收缴纳证明：供应商提供已缴纳的2025年1月至今至少一个月的纳税证明或完税证明（任意税种，时间以税款所属日期为准）证明应有税务机关或代收机关的公章或业务专用章）；依法免税的单位应提供相关文件证明；</w:t>
      </w:r>
    </w:p>
    <w:p>
      <w:pPr>
        <w:pStyle w:val="null3"/>
      </w:pPr>
      <w:r>
        <w:rPr>
          <w:rFonts w:ascii="仿宋_GB2312" w:hAnsi="仿宋_GB2312" w:cs="仿宋_GB2312" w:eastAsia="仿宋_GB2312"/>
        </w:rPr>
        <w:t>5、社会保障资金缴纳证明：供应商提供已缴存的2025年1月至今至少一个月的社会保障资金缴存单据或社保机构开具的社会保险参保缴费情况证明，依法不需要缴纳社会保障资金的单位应提供相关证明材料；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6、书面声明：供应商在近三年经营活动中没有重大违法记录的声明</w:t>
      </w:r>
    </w:p>
    <w:p>
      <w:pPr>
        <w:pStyle w:val="null3"/>
      </w:pPr>
      <w:r>
        <w:rPr>
          <w:rFonts w:ascii="仿宋_GB2312" w:hAnsi="仿宋_GB2312" w:cs="仿宋_GB2312" w:eastAsia="仿宋_GB2312"/>
        </w:rPr>
        <w:t>7、承诺书：具备履行合同所必须的设备和专业技术能力的说明及承诺；</w:t>
      </w:r>
    </w:p>
    <w:p>
      <w:pPr>
        <w:pStyle w:val="null3"/>
      </w:pPr>
      <w:r>
        <w:rPr>
          <w:rFonts w:ascii="仿宋_GB2312" w:hAnsi="仿宋_GB2312" w:cs="仿宋_GB2312" w:eastAsia="仿宋_GB2312"/>
        </w:rPr>
        <w:t>8、相关信用查询：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9、供应商企业关系关联承诺书：单位负责人为同一人或者存在控股、管理关系的不同单位不得同时磋商（提供供应商企业关系关联承诺书）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铜川市发展和改革委员会经办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13909196550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巩毓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18091920996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采购包1：472,200.00元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机构按照国家计委计价格[2002]1980号文件《招标代理工程收费管理暂行办法》和国家发改办价格[2003]857号《关于招标代理工程收费有关问题的通知》的规定向成交单位收取代理服务费，成交单位领取中标通知书时一次结清。（采购代理服务费以成交价为计算依据）</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铜川市发展和改革委员会</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甲乙双方协商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联系人：巩毓</w:t>
      </w:r>
    </w:p>
    <w:p>
      <w:pPr>
        <w:pStyle w:val="null3"/>
      </w:pPr>
      <w:r>
        <w:rPr>
          <w:rFonts w:ascii="仿宋_GB2312" w:hAnsi="仿宋_GB2312" w:cs="仿宋_GB2312" w:eastAsia="仿宋_GB2312"/>
        </w:rPr>
        <w:t>联系电话：18091920996</w:t>
      </w:r>
    </w:p>
    <w:p>
      <w:pPr>
        <w:pStyle w:val="null3"/>
      </w:pPr>
      <w:r>
        <w:rPr>
          <w:rFonts w:ascii="仿宋_GB2312" w:hAnsi="仿宋_GB2312" w:cs="仿宋_GB2312" w:eastAsia="仿宋_GB2312"/>
        </w:rPr>
        <w:t>地址：陕西省铜川市新区大学生创业孵化园（铁诺北路2号）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由铜川市发展和改革委员会牵头，与专业咨询机构合作开展优化营商环境提升工作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472,200.00</w:t>
      </w:r>
    </w:p>
    <w:p>
      <w:pPr>
        <w:pStyle w:val="null3"/>
      </w:pPr>
      <w:r>
        <w:rPr>
          <w:rFonts w:ascii="仿宋_GB2312" w:hAnsi="仿宋_GB2312" w:cs="仿宋_GB2312" w:eastAsia="仿宋_GB2312"/>
        </w:rPr>
        <w:t>采购包最高限价（元）: 472,200.00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铜川市营商环境优化提升项目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472,200.00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标的名称：铜川市营商环境优化提升项目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1.依据铜川市人民政府办公室收文办理单的批示，由铜川市发展和改革委员会牵头，与专业咨询机构合作开展优化营商环境提升工作，</w:t>
            </w:r>
            <w:r>
              <w:rPr>
                <w:rFonts w:ascii="仿宋_GB2312" w:hAnsi="仿宋_GB2312" w:cs="仿宋_GB2312" w:eastAsia="仿宋_GB2312"/>
                <w:sz w:val="18"/>
                <w:color w:val="000000"/>
              </w:rPr>
              <w:t>对标国家和先进地区营商环境政策和做法，探索在服务全产业链、投资审批改革等领域集成性、系统性的改革思路。</w:t>
            </w:r>
          </w:p>
          <w:p>
            <w:pPr>
              <w:pStyle w:val="null3"/>
            </w:pPr>
            <w:r>
              <w:rPr>
                <w:rFonts w:ascii="仿宋_GB2312" w:hAnsi="仿宋_GB2312" w:cs="仿宋_GB2312" w:eastAsia="仿宋_GB2312"/>
                <w:sz w:val="18"/>
              </w:rPr>
              <w:t>2.开展营商环境典型案例培育工作，挖掘各部门在营商环境领域典型经验和做法，形成高质量案例。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初审验收标准：在完成营商环境评价报告初稿后10个工作日内完成对初稿的验收。初审验收为形式审查，报告提交方式规范，报告框架完整覆盖服务内容。终审验收标准： 在完成营商环境评价报告终稿后10个工作日内完成终审验收，出具验收合格证明。</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凡因本合同引起的或与本合同有关的争议，双方应友好协商解决。协商不成时，双方均同意采用以下第（ 1 ）种争议解决方式： 1、甲、乙双方均同意向（甲方所在地人民法院）提起诉讼。 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1.服务期限：3个月；2.服务标准：符合国家相关要求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具有独立承担民事责任的能力的相关证明</w:t>
            </w:r>
          </w:p>
        </w:tc>
        <w:tc>
          <w:tcPr>
            <w:tcW w:type="dxa" w:w="3322"/>
          </w:tcPr>
          <w:p>
            <w:pPr>
              <w:pStyle w:val="null3"/>
            </w:pPr>
            <w:r>
              <w:rPr>
                <w:rFonts w:ascii="仿宋_GB2312" w:hAnsi="仿宋_GB2312" w:cs="仿宋_GB2312" w:eastAsia="仿宋_GB2312"/>
              </w:rPr>
              <w:t>供应商为合法注册的法人或其他组织或自然人，提供营业执照（或事业法人证）；自然人提供身份证明；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授权合法的人参加采购</w:t>
            </w:r>
          </w:p>
        </w:tc>
        <w:tc>
          <w:tcPr>
            <w:tcW w:type="dxa" w:w="3322"/>
          </w:tcPr>
          <w:p>
            <w:pPr>
              <w:pStyle w:val="null3"/>
            </w:pPr>
            <w:r>
              <w:rPr>
                <w:rFonts w:ascii="仿宋_GB2312" w:hAnsi="仿宋_GB2312" w:cs="仿宋_GB2312" w:eastAsia="仿宋_GB2312"/>
              </w:rPr>
              <w:t>法定代表人授权书及被授权人身份证（法定代表人直接参与，只须提交其身份证明）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供应商提供2021--2024年度任意一年经会计事务所或审计机构审计的完整的财务审计报告或在磋商截止时间前三个月内其开户银行出具的资信证明（附开户许可证或基本账户存款信息）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供应商提供已缴纳的2025年1月至今至少一个月的纳税证明或完税证明（任意税种，时间以税款所属日期为准）证明应有税务机关或代收机关的公章或业务专用章）；依法免税的单位应提供相关文件证明；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供应商提供已缴存的2025年1月至今至少一个月的社会保障资金缴存单据或社保机构开具的社会保险参保缴费情况证明，依法不需要缴纳社会保障资金的单位应提供相关证明材料；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相关信用查询</w:t>
            </w:r>
          </w:p>
        </w:tc>
        <w:tc>
          <w:tcPr>
            <w:tcW w:type="dxa" w:w="3322"/>
          </w:tcPr>
          <w:p>
            <w:pPr>
              <w:pStyle w:val="null3"/>
            </w:pPr>
            <w:r>
              <w:rPr>
                <w:rFonts w:ascii="仿宋_GB2312" w:hAnsi="仿宋_GB2312" w:cs="仿宋_GB2312" w:eastAsia="仿宋_GB2312"/>
              </w:rPr>
              <w:t>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单位负责人为同一人或者存在控股、管理关系的不同单位不得同时磋商（提供供应商企业关系关联承诺书）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国内营商环境评估情况分析方案</w:t>
            </w:r>
          </w:p>
        </w:tc>
        <w:tc>
          <w:tcPr>
            <w:tcW w:type="dxa" w:w="2492"/>
          </w:tcPr>
          <w:p>
            <w:pPr>
              <w:pStyle w:val="null3"/>
            </w:pPr>
            <w:r>
              <w:rPr>
                <w:rFonts w:ascii="仿宋_GB2312" w:hAnsi="仿宋_GB2312" w:cs="仿宋_GB2312" w:eastAsia="仿宋_GB2312"/>
              </w:rPr>
              <w:t>一、评审内容 针对本项目提供国内营商环境评估情况分析方案，方案包含：①对国家营商环境评价机制的理解阐述②国家营商环境评价指标体系和评价方法的梳理总结③对近年来党中央、国务院关于优化营商环境决策部署理解分析④了解先进地区典型案例、经验做法、未来发展方向。 二、评审标准 1、完整性：方案必须全面，对评审内容中的各项要求有详细描述； 2、可实施性：切合本项目实际情况，提出步骤清晰、合理的方案； 3、针对性：方案能够紧扣项目实际情况，内容科学合理。 三、赋分标准（满分20分）评审内容 每缺一项扣5分，每项依据评审标准存在不足的扣1-5分。（本项所指“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法规政策分析方案</w:t>
            </w:r>
          </w:p>
        </w:tc>
        <w:tc>
          <w:tcPr>
            <w:tcW w:type="dxa" w:w="2492"/>
          </w:tcPr>
          <w:p>
            <w:pPr>
              <w:pStyle w:val="null3"/>
            </w:pPr>
            <w:r>
              <w:rPr>
                <w:rFonts w:ascii="仿宋_GB2312" w:hAnsi="仿宋_GB2312" w:cs="仿宋_GB2312" w:eastAsia="仿宋_GB2312"/>
              </w:rPr>
              <w:t>一、评审内容 供应商需熟悉了解《陕西省优化营商环境条例》《陕西省推进营商环境突破年实施意见》等营商环境法规政策，并能够从①准确把握陕西优化营商环境特色和改革亮点内容②实施成效及重点难点，两个方面进行全面分析。 二、评审标准 1、完整性：方案必须全面，对评审内容中的各项要求有详细描述； 2、可实施性：切合本项目实际情况，提出步骤清晰、合理的方案； 3、针对性：方案能够紧扣项目实际情况，内容科学合理。 三、赋分标准（满分10分）评审内容每缺一项扣5分，每项依据评审标准存在不足的扣1-5分。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项目质量保证措施</w:t>
            </w:r>
          </w:p>
        </w:tc>
        <w:tc>
          <w:tcPr>
            <w:tcW w:type="dxa" w:w="2492"/>
          </w:tcPr>
          <w:p>
            <w:pPr>
              <w:pStyle w:val="null3"/>
            </w:pPr>
            <w:r>
              <w:rPr>
                <w:rFonts w:ascii="仿宋_GB2312" w:hAnsi="仿宋_GB2312" w:cs="仿宋_GB2312" w:eastAsia="仿宋_GB2312"/>
              </w:rPr>
              <w:t>一、评审内容 根据本项目采购需求编制针对性质量保证措施方案，有相应的保障细则，内容包含：①团队设置、②沟通机制、③进度控制、④质量控制、⑤及时响应等保障措施。 二、评审标准 1、完整性：方案必须全面，对评审内容中的各项要求有详细描述； 2、可实施性：切合本项目实际情况，提出步骤清晰、合理的方案； 3、针对性：方案能够紧扣项目实际情况，内容科学合理。 三、赋分标准（满分25分）评审内容每缺一项扣5分，存在不足的扣1-5分。 （本项所指“不足”是指内容不完整或缺少关键点；非专门针对本项目或不适用本项目特性、套用其他 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针对本项目制定保密方案，方案包括：①保密管理制度②保密协议③保密办法④特殊人员的保密处理。 二、评审标准 1、完整性：方案必须全面，对评审内容中的各项要求有详细描述； 2、可实施性：切合本项目实际情况，提出步骤清晰、合理的方案； 3、针对性：方案能够紧扣项目实际情况，内容科学合理。 三、赋分标准（满分8分）评审内容每缺一项扣2分，存在不足的扣0.5-2分。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制定评价培训方案，在开展评价前，组织对评价对象进行相关工作培训，方案包含：①培训目的②培训计划③培训内容④培训效果。 二、评审标准 1、完整性：方案必须全面，对评审内容中的各项要求有详细描述； 2、可实施性：切合本项目实际情况，提出步骤清晰、合理的方案； 3、针对性：方案能够紧扣项目实际情况，内容科学合理。 三、赋分标准（满分16分）评审内容每缺一项扣4分，存在不足的扣1-4分。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针对本项目服务内容和要求提供详细的服务承诺得0-6分。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根据各供应商提供的2022年1月1日至今类似项目业绩合同，时间以合同签订的日期为准，每一个有效业绩得1分。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满足磋商文件要求且最终报价最低的供应商的价格为评审基准价，其价格分为满分。其他供应商的价格分统一按照下列公式计算： 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