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版本号：HGMHCG-2025-6320250718001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森林防灭火物资采购项目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HGMHCG-2025-63</w:t>
      </w:r>
      <w:r>
        <w:br/>
      </w:r>
      <w:r>
        <w:br/>
      </w:r>
      <w:r>
        <w:br/>
      </w:r>
    </w:p>
    <w:p>
      <w:pPr>
        <w:pStyle w:val="null3"/>
        <w:jc w:val="center"/>
        <w:outlineLvl w:val="2"/>
      </w:pPr>
      <w:r>
        <w:rPr>
          <w:rFonts w:ascii="仿宋_GB2312" w:hAnsi="仿宋_GB2312" w:cs="仿宋_GB2312" w:eastAsia="仿宋_GB2312"/>
          <w:sz w:val="28"/>
          <w:b/>
        </w:rPr>
        <w:t>铜川市林业局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铜川市林业局</w:t>
      </w:r>
      <w:r>
        <w:rPr>
          <w:rFonts w:ascii="仿宋_GB2312" w:hAnsi="仿宋_GB2312" w:cs="仿宋_GB2312" w:eastAsia="仿宋_GB2312"/>
        </w:rPr>
        <w:t>委托，拟对</w:t>
      </w:r>
      <w:r>
        <w:rPr>
          <w:rFonts w:ascii="仿宋_GB2312" w:hAnsi="仿宋_GB2312" w:cs="仿宋_GB2312" w:eastAsia="仿宋_GB2312"/>
        </w:rPr>
        <w:t>森林防灭火物资采购项目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HGMHCG-2025-63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森林防灭火物资采购项目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森林防灭火物资采购项目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采购包1（森林防灭火物资采购项目）：属于专门面向中小企业采购。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供应商需提供2024年度财务审计报告或提供文件递交截止日前三个月内任意一个月从基本户银行开具的资信证明：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法定代表人直接参加投标的，须出具法人身份证；授权代表参加投标的，须出具授权书及授权代表身份证：法定代表人直接参加投标的，须出具法人身份证；授权代表参加投标的，须出具授权书及授权代表身份证。</w:t>
      </w:r>
    </w:p>
    <w:p>
      <w:pPr>
        <w:pStyle w:val="null3"/>
      </w:pPr>
      <w:r>
        <w:rPr>
          <w:rFonts w:ascii="仿宋_GB2312" w:hAnsi="仿宋_GB2312" w:cs="仿宋_GB2312" w:eastAsia="仿宋_GB2312"/>
        </w:rPr>
        <w:t>5、供应商出具本企业参加政府采购活动前三年内经营活动中没有重大违法记录的书面声明：供应商出具本企业参加政府采购活动前三年内经营活动中没有重大违法记录的书面声明。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6、供应商不得为“信用中国”中列入失信被执行人和重大税收违法案件当事人名单的供应商，不得为“中国政府采购网”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陕西省铜川市新区长虹南路山水雅庭3幢1单元10901室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铜川市林业局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地址：陕西省铜川市新区长虹南路山水雅庭3幢1单元10901室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采购便携式高压水泵、防火服、扑火靴、扑火手套、灭火弹、防火头套、头盔等森林防火物资。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3"/>
              <w:gridCol w:w="310"/>
              <w:gridCol w:w="1428"/>
              <w:gridCol w:w="406"/>
              <w:gridCol w:w="253"/>
            </w:tblGrid>
            <w:tr>
              <w:tc>
                <w:tcPr>
                  <w:tcW w:type="dxa" w:w="2550"/>
                  <w:gridSpan w:val="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采购清单</w:t>
                  </w:r>
                </w:p>
              </w:tc>
            </w:tr>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品名</w:t>
                  </w:r>
                </w:p>
              </w:tc>
              <w:tc>
                <w:tcPr>
                  <w:tcW w:type="dxa" w:w="1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数量（单位）</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便携式高压水泵</w:t>
                  </w:r>
                  <w:r>
                    <w:br/>
                  </w:r>
                  <w:r>
                    <w:rPr>
                      <w:rFonts w:ascii="仿宋_GB2312" w:hAnsi="仿宋_GB2312" w:cs="仿宋_GB2312" w:eastAsia="仿宋_GB2312"/>
                      <w:sz w:val="21"/>
                      <w:color w:val="000000"/>
                    </w:rPr>
                    <w:t>（10马力）</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单缸二冲程、水冷与自然风冷复合冷却发动机，水道与缸体为一体化设计。功率≥10HP，排量：≥109mL。多级离心泵，叶轮具有防反转保护结构。</w:t>
                  </w:r>
                  <w:r>
                    <w:br/>
                  </w:r>
                  <w:r>
                    <w:rPr>
                      <w:rFonts w:ascii="仿宋_GB2312" w:hAnsi="仿宋_GB2312" w:cs="仿宋_GB2312" w:eastAsia="仿宋_GB2312"/>
                      <w:sz w:val="21"/>
                      <w:color w:val="000000"/>
                    </w:rPr>
                    <w:t>发动机具备高温、断水、超速自动保护装置，安全性高。</w:t>
                  </w:r>
                  <w:r>
                    <w:br/>
                  </w:r>
                  <w:r>
                    <w:rPr>
                      <w:rFonts w:ascii="仿宋_GB2312" w:hAnsi="仿宋_GB2312" w:cs="仿宋_GB2312" w:eastAsia="仿宋_GB2312"/>
                      <w:sz w:val="21"/>
                      <w:color w:val="000000"/>
                    </w:rPr>
                    <w:t>水泵之间可以单机使用，也可以串、并联连接运行，组成接力水泵灭火系统。</w:t>
                  </w:r>
                  <w:r>
                    <w:br/>
                  </w:r>
                  <w:r>
                    <w:rPr>
                      <w:rFonts w:ascii="仿宋_GB2312" w:hAnsi="仿宋_GB2312" w:cs="仿宋_GB2312" w:eastAsia="仿宋_GB2312"/>
                      <w:sz w:val="21"/>
                      <w:color w:val="000000"/>
                    </w:rPr>
                    <w:t>泵组在横向、纵向倾斜达到 90°的条件下，应能正常工作。</w:t>
                  </w:r>
                  <w:r>
                    <w:br/>
                  </w:r>
                  <w:r>
                    <w:rPr>
                      <w:rFonts w:ascii="仿宋_GB2312" w:hAnsi="仿宋_GB2312" w:cs="仿宋_GB2312" w:eastAsia="仿宋_GB2312"/>
                      <w:sz w:val="21"/>
                      <w:color w:val="000000"/>
                    </w:rPr>
                    <w:t>采用铝合金或不锈钢框架，全包围式；可手提、可背负；与地面接触面有减震垫。</w:t>
                  </w:r>
                  <w:r>
                    <w:br/>
                  </w:r>
                  <w:r>
                    <w:rPr>
                      <w:rFonts w:ascii="仿宋_GB2312" w:hAnsi="仿宋_GB2312" w:cs="仿宋_GB2312" w:eastAsia="仿宋_GB2312"/>
                      <w:sz w:val="21"/>
                      <w:color w:val="000000"/>
                    </w:rPr>
                    <w:t>同时具有手拉启动、电启动和遥控启停多种方式。常温启动≤30秒。重量≤13KG，重量轻，便携，适于复杂地形作战。最大流量(L/S)≥4;最大扬程（m）≥150;最大射程(m)≥35;进水口直径50mm;出水口直径40mm。</w:t>
                  </w:r>
                  <w:r>
                    <w:br/>
                  </w:r>
                  <w:r>
                    <w:rPr>
                      <w:rFonts w:ascii="仿宋_GB2312" w:hAnsi="仿宋_GB2312" w:cs="仿宋_GB2312" w:eastAsia="仿宋_GB2312"/>
                      <w:sz w:val="21"/>
                      <w:color w:val="000000"/>
                    </w:rPr>
                    <w:t>随机配件：、止水钳2把、水带修补环6只、分水器1个、分水器连接管1根、止逆阀1只、直流水枪1支、喷雾水枪1支、勾头扳手2把、串联进水接头1付、照明灯1只；充电宝式启动电池1块、防淤筐1只；燃油箱1个（符合参数要求）、30-40-30型聚氨酯水带300m、进水管1根（含底阀）、水带背包（含框架）4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防火服</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1.面料：芳纶98</w:t>
                  </w:r>
                  <w:r>
                    <w:br/>
                  </w:r>
                  <w:r>
                    <w:rPr>
                      <w:rFonts w:ascii="仿宋_GB2312" w:hAnsi="仿宋_GB2312" w:cs="仿宋_GB2312" w:eastAsia="仿宋_GB2312"/>
                      <w:sz w:val="21"/>
                      <w:color w:val="000000"/>
                    </w:rPr>
                    <w:t>2.产品的质量检测标准要符合《GB/T33536-2017防护服装森林防火服》标准。</w:t>
                  </w:r>
                  <w:r>
                    <w:br/>
                  </w:r>
                  <w:r>
                    <w:rPr>
                      <w:rFonts w:ascii="仿宋_GB2312" w:hAnsi="仿宋_GB2312" w:cs="仿宋_GB2312" w:eastAsia="仿宋_GB2312"/>
                      <w:sz w:val="21"/>
                      <w:color w:val="000000"/>
                    </w:rPr>
                    <w:t>3.续燃时间：0s。</w:t>
                  </w:r>
                  <w:r>
                    <w:br/>
                  </w:r>
                  <w:r>
                    <w:rPr>
                      <w:rFonts w:ascii="仿宋_GB2312" w:hAnsi="仿宋_GB2312" w:cs="仿宋_GB2312" w:eastAsia="仿宋_GB2312"/>
                      <w:sz w:val="21"/>
                      <w:color w:val="000000"/>
                    </w:rPr>
                    <w:t>4.阴燃时间：0s。</w:t>
                  </w:r>
                  <w:r>
                    <w:br/>
                  </w:r>
                  <w:r>
                    <w:rPr>
                      <w:rFonts w:ascii="仿宋_GB2312" w:hAnsi="仿宋_GB2312" w:cs="仿宋_GB2312" w:eastAsia="仿宋_GB2312"/>
                      <w:sz w:val="21"/>
                      <w:color w:val="000000"/>
                    </w:rPr>
                    <w:t>5.损毁长度：经向:≤50m，纬向:≤50m。</w:t>
                  </w:r>
                  <w:r>
                    <w:br/>
                  </w:r>
                  <w:r>
                    <w:rPr>
                      <w:rFonts w:ascii="仿宋_GB2312" w:hAnsi="仿宋_GB2312" w:cs="仿宋_GB2312" w:eastAsia="仿宋_GB2312"/>
                      <w:sz w:val="21"/>
                      <w:color w:val="000000"/>
                    </w:rPr>
                    <w:t>6.面料洗涤50次后断裂强力：经、纬向:≥1000N:</w:t>
                  </w:r>
                  <w:r>
                    <w:br/>
                  </w:r>
                  <w:r>
                    <w:rPr>
                      <w:rFonts w:ascii="仿宋_GB2312" w:hAnsi="仿宋_GB2312" w:cs="仿宋_GB2312" w:eastAsia="仿宋_GB2312"/>
                      <w:sz w:val="21"/>
                      <w:color w:val="000000"/>
                    </w:rPr>
                    <w:t>7.面料撕破强力：经向、纬向:2100N。</w:t>
                  </w:r>
                  <w:r>
                    <w:br/>
                  </w:r>
                  <w:r>
                    <w:rPr>
                      <w:rFonts w:ascii="仿宋_GB2312" w:hAnsi="仿宋_GB2312" w:cs="仿宋_GB2312" w:eastAsia="仿宋_GB2312"/>
                      <w:sz w:val="21"/>
                      <w:color w:val="000000"/>
                    </w:rPr>
                    <w:t>8.耐光色牢度及耐湿摩擦为：4级。</w:t>
                  </w:r>
                  <w:r>
                    <w:br/>
                  </w:r>
                  <w:r>
                    <w:rPr>
                      <w:rFonts w:ascii="仿宋_GB2312" w:hAnsi="仿宋_GB2312" w:cs="仿宋_GB2312" w:eastAsia="仿宋_GB2312"/>
                      <w:sz w:val="21"/>
                      <w:color w:val="000000"/>
                    </w:rPr>
                    <w:t>9.色牢度：耐洗、耐水、耐干摩擦、耐汗渍)4-5级</w:t>
                  </w:r>
                  <w:r>
                    <w:br/>
                  </w:r>
                  <w:r>
                    <w:rPr>
                      <w:rFonts w:ascii="仿宋_GB2312" w:hAnsi="仿宋_GB2312" w:cs="仿宋_GB2312" w:eastAsia="仿宋_GB2312"/>
                      <w:sz w:val="21"/>
                      <w:color w:val="000000"/>
                    </w:rPr>
                    <w:t>10.PH值：4-8</w:t>
                  </w:r>
                  <w:r>
                    <w:br/>
                  </w:r>
                  <w:r>
                    <w:rPr>
                      <w:rFonts w:ascii="仿宋_GB2312" w:hAnsi="仿宋_GB2312" w:cs="仿宋_GB2312" w:eastAsia="仿宋_GB2312"/>
                      <w:sz w:val="21"/>
                      <w:color w:val="000000"/>
                    </w:rPr>
                    <w:t>11.甲醛含量：mg/kg≤0</w:t>
                  </w:r>
                  <w:r>
                    <w:br/>
                  </w:r>
                  <w:r>
                    <w:rPr>
                      <w:rFonts w:ascii="仿宋_GB2312" w:hAnsi="仿宋_GB2312" w:cs="仿宋_GB2312" w:eastAsia="仿宋_GB2312"/>
                      <w:sz w:val="21"/>
                      <w:color w:val="000000"/>
                    </w:rPr>
                    <w:t>12.具有防水、防尘、防火星设计。上衣底摆、袖口处采用收紧式结构，贴边采用粘扣，裤口、裤腰处的收紧结构能适应不同腰围尺寸的人员穿着，裤腿侧面有2个带盖口袋，裤子需有包档处理。</w:t>
                  </w:r>
                  <w:r>
                    <w:br/>
                  </w:r>
                  <w:r>
                    <w:rPr>
                      <w:rFonts w:ascii="仿宋_GB2312" w:hAnsi="仿宋_GB2312" w:cs="仿宋_GB2312" w:eastAsia="仿宋_GB2312"/>
                      <w:sz w:val="21"/>
                      <w:color w:val="000000"/>
                    </w:rPr>
                    <w:t>13.前胸贴袋下方、手腕处、后背上方有高清度夜光布、反光带规格5×3。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扑火靴</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1.防扎鞋鞋面采用翻毛皮及迷彩布相结合,翻毛皮防扎保护脚部，迷彩腰柔软舒服，不磨脚。</w:t>
                  </w:r>
                  <w:r>
                    <w:br/>
                  </w:r>
                  <w:r>
                    <w:rPr>
                      <w:rFonts w:ascii="仿宋_GB2312" w:hAnsi="仿宋_GB2312" w:cs="仿宋_GB2312" w:eastAsia="仿宋_GB2312"/>
                      <w:sz w:val="21"/>
                      <w:color w:val="000000"/>
                    </w:rPr>
                    <w:t>2.鞋底采用优质橡胶，鞋底防滑齿设计，防水,鞋底部加有钢板，鞋头部有钢包头，防止扑火中扎伤脚部,鞋底曲折力好、抗穿刺能力强、耐磨、防滑。</w:t>
                  </w:r>
                  <w:r>
                    <w:br/>
                  </w:r>
                  <w:r>
                    <w:rPr>
                      <w:rFonts w:ascii="仿宋_GB2312" w:hAnsi="仿宋_GB2312" w:cs="仿宋_GB2312" w:eastAsia="仿宋_GB2312"/>
                      <w:sz w:val="21"/>
                      <w:color w:val="000000"/>
                    </w:rPr>
                    <w:t>3.靴舌和鞋帮一体设计，鞋高大于180厘米，能有效防止沙尘、火星等异物进入.</w:t>
                  </w:r>
                  <w:r>
                    <w:br/>
                  </w:r>
                  <w:r>
                    <w:rPr>
                      <w:rFonts w:ascii="仿宋_GB2312" w:hAnsi="仿宋_GB2312" w:cs="仿宋_GB2312" w:eastAsia="仿宋_GB2312"/>
                      <w:sz w:val="21"/>
                      <w:color w:val="000000"/>
                    </w:rPr>
                    <w:t>4.国标码号：防滑性能良好，水平向前滑动摩擦系数≥0.26；</w:t>
                  </w:r>
                  <w:r>
                    <w:br/>
                  </w:r>
                  <w:r>
                    <w:rPr>
                      <w:rFonts w:ascii="仿宋_GB2312" w:hAnsi="仿宋_GB2312" w:cs="仿宋_GB2312" w:eastAsia="仿宋_GB2312"/>
                      <w:sz w:val="21"/>
                      <w:color w:val="000000"/>
                    </w:rPr>
                    <w:t>5.防刺穿性能良好，鞋面皮革PH值≥4.5，整靴轻便耐用，适合野外火场作业。有极高的防护作用。</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头盔</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1.头盔抗冲击，可以保护重物对头部的冲击，适用于扑火人员在扑火现场保护头部的安全，前方配有耐高温内置有机玻璃面罩,防止火和烟尘对扑火人员的面部伤害，后部有大于5cm帽沿，对颈部有很好的保护。</w:t>
                  </w:r>
                  <w:r>
                    <w:br/>
                  </w:r>
                  <w:r>
                    <w:rPr>
                      <w:rFonts w:ascii="仿宋_GB2312" w:hAnsi="仿宋_GB2312" w:cs="仿宋_GB2312" w:eastAsia="仿宋_GB2312"/>
                      <w:sz w:val="21"/>
                      <w:color w:val="000000"/>
                    </w:rPr>
                    <w:t>2.头盔四周加以披肩,可以与扑火服连接一起。</w:t>
                  </w:r>
                  <w:r>
                    <w:br/>
                  </w:r>
                  <w:r>
                    <w:rPr>
                      <w:rFonts w:ascii="仿宋_GB2312" w:hAnsi="仿宋_GB2312" w:cs="仿宋_GB2312" w:eastAsia="仿宋_GB2312"/>
                      <w:sz w:val="21"/>
                      <w:color w:val="000000"/>
                    </w:rPr>
                    <w:t>3.具有防砸、防热辐射和防火等多种功能。</w:t>
                  </w:r>
                  <w:r>
                    <w:br/>
                  </w:r>
                  <w:r>
                    <w:rPr>
                      <w:rFonts w:ascii="仿宋_GB2312" w:hAnsi="仿宋_GB2312" w:cs="仿宋_GB2312" w:eastAsia="仿宋_GB2312"/>
                      <w:sz w:val="21"/>
                      <w:color w:val="000000"/>
                    </w:rPr>
                    <w:t>4.头盔采用优质桔红塑料，壁厚＞4mm；面罩厚度≥2mm。面罩透光率≥90％，披肩氧指数LOI≥35%。</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扑火</w:t>
                  </w:r>
                  <w:r>
                    <w:br/>
                  </w:r>
                  <w:r>
                    <w:rPr>
                      <w:rFonts w:ascii="仿宋_GB2312" w:hAnsi="仿宋_GB2312" w:cs="仿宋_GB2312" w:eastAsia="仿宋_GB2312"/>
                      <w:sz w:val="21"/>
                      <w:color w:val="000000"/>
                    </w:rPr>
                    <w:t>手套</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1.手掌面料处采用皮革制作；</w:t>
                  </w:r>
                  <w:r>
                    <w:br/>
                  </w:r>
                  <w:r>
                    <w:rPr>
                      <w:rFonts w:ascii="仿宋_GB2312" w:hAnsi="仿宋_GB2312" w:cs="仿宋_GB2312" w:eastAsia="仿宋_GB2312"/>
                      <w:sz w:val="21"/>
                      <w:color w:val="000000"/>
                    </w:rPr>
                    <w:t>2.手腕处面料采用桔红色纯棉永久阻燃芳纶面料；</w:t>
                  </w:r>
                  <w:r>
                    <w:br/>
                  </w:r>
                  <w:r>
                    <w:rPr>
                      <w:rFonts w:ascii="仿宋_GB2312" w:hAnsi="仿宋_GB2312" w:cs="仿宋_GB2312" w:eastAsia="仿宋_GB2312"/>
                      <w:sz w:val="21"/>
                      <w:color w:val="000000"/>
                    </w:rPr>
                    <w:t>3.手套腕部加有桔红色永久阻燃芳纶面料，可有效保护手部、小臂等部位，同时具有良好的舒适性和透气性。</w:t>
                  </w:r>
                  <w:r>
                    <w:br/>
                  </w:r>
                  <w:r>
                    <w:rPr>
                      <w:rFonts w:ascii="仿宋_GB2312" w:hAnsi="仿宋_GB2312" w:cs="仿宋_GB2312" w:eastAsia="仿宋_GB2312"/>
                      <w:sz w:val="21"/>
                      <w:color w:val="000000"/>
                    </w:rPr>
                    <w:t>4.厚度mm≥1.0</w:t>
                  </w:r>
                  <w:r>
                    <w:br/>
                  </w:r>
                  <w:r>
                    <w:rPr>
                      <w:rFonts w:ascii="仿宋_GB2312" w:hAnsi="仿宋_GB2312" w:cs="仿宋_GB2312" w:eastAsia="仿宋_GB2312"/>
                      <w:sz w:val="21"/>
                      <w:color w:val="000000"/>
                    </w:rPr>
                    <w:t>5.极限氧指数LOI二级≥28%</w:t>
                  </w:r>
                  <w:r>
                    <w:br/>
                  </w:r>
                  <w:r>
                    <w:rPr>
                      <w:rFonts w:ascii="仿宋_GB2312" w:hAnsi="仿宋_GB2312" w:cs="仿宋_GB2312" w:eastAsia="仿宋_GB2312"/>
                      <w:sz w:val="21"/>
                      <w:color w:val="000000"/>
                    </w:rPr>
                    <w:t>6.缝合强力N＞23。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灭火弹</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细干粉灭火剂，有效灭火面积大于5平方米，规格：10*10*10，重量1公斤，储存有效期不低于8年，安全性强。纸质使用后具有自动降解的环保性能。</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100(箱)</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w:t>
                  </w:r>
                  <w:r>
                    <w:br/>
                  </w:r>
                  <w:r>
                    <w:rPr>
                      <w:rFonts w:ascii="仿宋_GB2312" w:hAnsi="仿宋_GB2312" w:cs="仿宋_GB2312" w:eastAsia="仿宋_GB2312"/>
                      <w:sz w:val="21"/>
                      <w:color w:val="000000"/>
                    </w:rPr>
                    <w:t>头套</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1.符合XF869-2010《消防员灭火防护头套》的标准要求。</w:t>
                  </w:r>
                  <w:r>
                    <w:br/>
                  </w:r>
                  <w:r>
                    <w:rPr>
                      <w:rFonts w:ascii="仿宋_GB2312" w:hAnsi="仿宋_GB2312" w:cs="仿宋_GB2312" w:eastAsia="仿宋_GB2312"/>
                      <w:sz w:val="21"/>
                      <w:color w:val="000000"/>
                    </w:rPr>
                    <w:t xml:space="preserve">2.面料性能：抗起球性能4级，醛含量：无 </w:t>
                  </w:r>
                  <w:r>
                    <w:br/>
                  </w:r>
                  <w:r>
                    <w:rPr>
                      <w:rFonts w:ascii="仿宋_GB2312" w:hAnsi="仿宋_GB2312" w:cs="仿宋_GB2312" w:eastAsia="仿宋_GB2312"/>
                      <w:sz w:val="21"/>
                      <w:color w:val="000000"/>
                    </w:rPr>
                    <w:t>3.整体性能：接缝强力1830N；针距密度：编制明暗线每14针/3cm；质量118.40g；面料阻燃性能经向：续燃时间0s、损毁长度18-20mm;</w:t>
                  </w:r>
                  <w:r>
                    <w:br/>
                  </w:r>
                  <w:r>
                    <w:rPr>
                      <w:rFonts w:ascii="仿宋_GB2312" w:hAnsi="仿宋_GB2312" w:cs="仿宋_GB2312" w:eastAsia="仿宋_GB2312"/>
                      <w:sz w:val="21"/>
                      <w:color w:val="000000"/>
                    </w:rPr>
                    <w:t>4.灭火救援时头面部和颈部防护，具有阻燃、保暖、轻便、舒适性能。</w:t>
                  </w:r>
                  <w:r>
                    <w:br/>
                  </w:r>
                  <w:r>
                    <w:rPr>
                      <w:rFonts w:ascii="仿宋_GB2312" w:hAnsi="仿宋_GB2312" w:cs="仿宋_GB2312" w:eastAsia="仿宋_GB2312"/>
                      <w:sz w:val="21"/>
                      <w:color w:val="000000"/>
                    </w:rPr>
                    <w:t>5.用于可燃气体、粉尘、蒸汽等易燃、易爆场所消防作业时的头颈部内层防护。</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完成供货安装，满足国家及行业质量验收合格标准（支付方式合同签订时具体约定）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现场验收，满足采购人需求，达到合格标准。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验收合格之日起不少于1年。所有质量必须符合国家有关规范和相关政策，提供的货物必须是未使用的新产品，质量优良、渠道正规、配置合理，出现的质量问题由中标人负责解决，并承担所以费用。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332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标的清单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标的清单 投标文件封面 服务方案.docx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管理制度和协调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采用低价优先法计算，即满足招标文件要求且投标价格最低的投标报价为评标基准价，按照下列公式计算:投标报价得分=(评标基准价/投标报价)×价格权值(即 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