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944BE">
      <w:pPr>
        <w:keepLines w:val="0"/>
        <w:pageBreakBefore w:val="0"/>
        <w:widowControl/>
        <w:kinsoku/>
        <w:wordWrap/>
        <w:overflowPunct/>
        <w:topLinePunct w:val="0"/>
        <w:bidi w:val="0"/>
        <w:spacing w:line="460" w:lineRule="exact"/>
        <w:jc w:val="center"/>
        <w:textAlignment w:val="auto"/>
        <w:rPr>
          <w:rFonts w:hint="eastAsia" w:ascii="宋体" w:hAnsi="宋体" w:eastAsia="宋体" w:cs="宋体"/>
          <w:color w:val="auto"/>
          <w:sz w:val="21"/>
          <w:szCs w:val="21"/>
          <w:lang w:eastAsia="zh-CN"/>
        </w:rPr>
      </w:pPr>
      <w:r>
        <w:rPr>
          <w:rStyle w:val="6"/>
          <w:rFonts w:hint="eastAsia" w:ascii="宋体" w:hAnsi="宋体" w:eastAsia="宋体" w:cs="宋体"/>
          <w:color w:val="auto"/>
          <w:sz w:val="32"/>
          <w:szCs w:val="32"/>
        </w:rPr>
        <w:t>拟签订的合同</w:t>
      </w:r>
      <w:bookmarkStart w:id="0" w:name="_Hlt487972895"/>
      <w:bookmarkEnd w:id="0"/>
      <w:bookmarkStart w:id="1" w:name="_Toc216513788"/>
      <w:bookmarkStart w:id="2" w:name="_Toc487900382"/>
      <w:r>
        <w:rPr>
          <w:rStyle w:val="6"/>
          <w:rFonts w:hint="eastAsia" w:ascii="宋体" w:hAnsi="宋体" w:eastAsia="宋体" w:cs="宋体"/>
          <w:color w:val="auto"/>
          <w:sz w:val="32"/>
          <w:szCs w:val="32"/>
        </w:rPr>
        <w:t>文本</w:t>
      </w:r>
    </w:p>
    <w:bookmarkEnd w:id="1"/>
    <w:bookmarkEnd w:id="2"/>
    <w:p w14:paraId="385DE815">
      <w:pPr>
        <w:keepLines w:val="0"/>
        <w:pageBreakBefore w:val="0"/>
        <w:kinsoku/>
        <w:wordWrap/>
        <w:overflowPunct/>
        <w:topLinePunct w:val="0"/>
        <w:autoSpaceDE w:val="0"/>
        <w:autoSpaceDN w:val="0"/>
        <w:bidi w:val="0"/>
        <w:adjustRightInd w:val="0"/>
        <w:spacing w:line="460" w:lineRule="exact"/>
        <w:ind w:firstLine="420" w:firstLineChars="200"/>
        <w:textAlignment w:val="auto"/>
        <w:rPr>
          <w:rFonts w:hint="eastAsia" w:ascii="宋体" w:hAnsi="宋体" w:eastAsia="宋体" w:cs="宋体"/>
          <w:bCs/>
          <w:color w:val="auto"/>
          <w:sz w:val="21"/>
          <w:szCs w:val="21"/>
        </w:rPr>
      </w:pPr>
    </w:p>
    <w:p w14:paraId="09F7D2DB">
      <w:pPr>
        <w:keepLines w:val="0"/>
        <w:pageBreakBefore w:val="0"/>
        <w:kinsoku/>
        <w:wordWrap/>
        <w:overflowPunct/>
        <w:topLinePunct w:val="0"/>
        <w:autoSpaceDE w:val="0"/>
        <w:autoSpaceDN w:val="0"/>
        <w:bidi w:val="0"/>
        <w:adjustRightInd w:val="0"/>
        <w:spacing w:line="460" w:lineRule="exact"/>
        <w:ind w:firstLine="420" w:firstLineChars="200"/>
        <w:textAlignment w:val="auto"/>
        <w:rPr>
          <w:rFonts w:hint="default" w:ascii="宋体" w:hAnsi="宋体" w:eastAsia="宋体" w:cs="宋体"/>
          <w:bCs/>
          <w:color w:val="auto"/>
          <w:sz w:val="21"/>
          <w:szCs w:val="21"/>
          <w:u w:val="none"/>
          <w:lang w:val="en-US" w:eastAsia="zh-CN"/>
        </w:rPr>
      </w:pPr>
      <w:r>
        <w:rPr>
          <w:rFonts w:hint="eastAsia" w:ascii="宋体" w:hAnsi="宋体" w:eastAsia="宋体" w:cs="宋体"/>
          <w:bCs/>
          <w:color w:val="auto"/>
          <w:sz w:val="21"/>
          <w:szCs w:val="21"/>
        </w:rPr>
        <w:t>采购人（采购人）：</w:t>
      </w:r>
      <w:r>
        <w:rPr>
          <w:rFonts w:hint="eastAsia" w:ascii="宋体" w:hAnsi="宋体" w:cs="宋体"/>
          <w:bCs/>
          <w:color w:val="auto"/>
          <w:sz w:val="21"/>
          <w:szCs w:val="21"/>
          <w:u w:val="single"/>
          <w:lang w:val="en-US" w:eastAsia="zh-CN"/>
        </w:rPr>
        <w:t xml:space="preserve">                                   </w:t>
      </w:r>
      <w:r>
        <w:rPr>
          <w:rFonts w:hint="eastAsia" w:ascii="宋体" w:hAnsi="宋体" w:cs="宋体"/>
          <w:bCs/>
          <w:color w:val="auto"/>
          <w:sz w:val="21"/>
          <w:szCs w:val="21"/>
          <w:u w:val="none"/>
          <w:lang w:val="en-US" w:eastAsia="zh-CN"/>
        </w:rPr>
        <w:t>（以下简称“甲方”）</w:t>
      </w:r>
    </w:p>
    <w:p w14:paraId="25D0BE17">
      <w:pPr>
        <w:keepLines w:val="0"/>
        <w:pageBreakBefore w:val="0"/>
        <w:kinsoku/>
        <w:wordWrap/>
        <w:overflowPunct/>
        <w:topLinePunct w:val="0"/>
        <w:autoSpaceDE w:val="0"/>
        <w:autoSpaceDN w:val="0"/>
        <w:bidi w:val="0"/>
        <w:adjustRightInd w:val="0"/>
        <w:spacing w:line="460" w:lineRule="exact"/>
        <w:ind w:firstLine="420" w:firstLineChars="200"/>
        <w:textAlignment w:val="auto"/>
        <w:rPr>
          <w:rFonts w:hint="default" w:ascii="宋体" w:hAnsi="宋体" w:eastAsia="宋体" w:cs="宋体"/>
          <w:bCs/>
          <w:color w:val="auto"/>
          <w:sz w:val="21"/>
          <w:szCs w:val="21"/>
          <w:u w:val="none"/>
          <w:lang w:val="en-US" w:eastAsia="zh-CN"/>
        </w:rPr>
      </w:pPr>
      <w:r>
        <w:rPr>
          <w:rFonts w:hint="eastAsia" w:ascii="宋体" w:hAnsi="宋体" w:eastAsia="宋体" w:cs="宋体"/>
          <w:bCs/>
          <w:color w:val="auto"/>
          <w:sz w:val="21"/>
          <w:szCs w:val="21"/>
        </w:rPr>
        <w:t>供应商（</w:t>
      </w:r>
      <w:r>
        <w:rPr>
          <w:rFonts w:hint="eastAsia" w:ascii="宋体" w:hAnsi="宋体" w:cs="宋体"/>
          <w:bCs/>
          <w:color w:val="auto"/>
          <w:sz w:val="21"/>
          <w:szCs w:val="21"/>
          <w:lang w:val="en-US" w:eastAsia="zh-CN"/>
        </w:rPr>
        <w:t>中标</w:t>
      </w:r>
      <w:r>
        <w:rPr>
          <w:rFonts w:hint="eastAsia" w:ascii="宋体" w:hAnsi="宋体" w:eastAsia="宋体" w:cs="宋体"/>
          <w:bCs/>
          <w:color w:val="auto"/>
          <w:sz w:val="21"/>
          <w:szCs w:val="21"/>
        </w:rPr>
        <w:t xml:space="preserve">供应商）： </w:t>
      </w:r>
      <w:r>
        <w:rPr>
          <w:rFonts w:hint="eastAsia" w:ascii="宋体" w:hAnsi="宋体" w:cs="宋体"/>
          <w:bCs/>
          <w:color w:val="auto"/>
          <w:sz w:val="21"/>
          <w:szCs w:val="21"/>
          <w:u w:val="single"/>
          <w:lang w:val="en-US" w:eastAsia="zh-CN"/>
        </w:rPr>
        <w:t xml:space="preserve">                              </w:t>
      </w:r>
      <w:r>
        <w:rPr>
          <w:rFonts w:hint="eastAsia" w:ascii="宋体" w:hAnsi="宋体" w:cs="宋体"/>
          <w:bCs/>
          <w:color w:val="auto"/>
          <w:sz w:val="21"/>
          <w:szCs w:val="21"/>
          <w:u w:val="none"/>
          <w:lang w:val="en-US" w:eastAsia="zh-CN"/>
        </w:rPr>
        <w:t>（以下简称“乙方”）</w:t>
      </w:r>
    </w:p>
    <w:p w14:paraId="45D575F9">
      <w:pPr>
        <w:keepLines w:val="0"/>
        <w:pageBreakBefore w:val="0"/>
        <w:kinsoku/>
        <w:wordWrap/>
        <w:overflowPunct/>
        <w:topLinePunct w:val="0"/>
        <w:autoSpaceDE w:val="0"/>
        <w:autoSpaceDN w:val="0"/>
        <w:bidi w:val="0"/>
        <w:adjustRightInd w:val="0"/>
        <w:spacing w:line="460" w:lineRule="exact"/>
        <w:ind w:firstLine="420" w:firstLineChars="200"/>
        <w:textAlignment w:val="auto"/>
        <w:rPr>
          <w:rFonts w:hint="eastAsia" w:ascii="宋体" w:hAnsi="宋体" w:eastAsia="宋体" w:cs="宋体"/>
          <w:bCs/>
          <w:color w:val="auto"/>
          <w:sz w:val="21"/>
          <w:szCs w:val="21"/>
        </w:rPr>
      </w:pPr>
    </w:p>
    <w:p w14:paraId="65A98DCA">
      <w:pPr>
        <w:keepLines w:val="0"/>
        <w:pageBreakBefore w:val="0"/>
        <w:numPr>
          <w:ilvl w:val="0"/>
          <w:numId w:val="0"/>
        </w:numPr>
        <w:kinsoku/>
        <w:wordWrap/>
        <w:overflowPunct/>
        <w:topLinePunct w:val="0"/>
        <w:bidi w:val="0"/>
        <w:spacing w:line="460" w:lineRule="exact"/>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根据《中华人民共和国政府采购法》及实施条例、《中华人民共和国民法典》，以及</w:t>
      </w:r>
      <w:r>
        <w:rPr>
          <w:rFonts w:hint="eastAsia" w:ascii="宋体" w:hAnsi="宋体" w:cs="宋体"/>
          <w:bCs/>
          <w:color w:val="auto"/>
          <w:sz w:val="21"/>
          <w:szCs w:val="21"/>
          <w:u w:val="single"/>
          <w:lang w:val="en-US" w:eastAsia="zh-CN"/>
        </w:rPr>
        <w:t xml:space="preserve">   （采购项目名称）    </w:t>
      </w:r>
      <w:r>
        <w:rPr>
          <w:rFonts w:hint="eastAsia" w:ascii="宋体" w:hAnsi="宋体" w:eastAsia="宋体" w:cs="宋体"/>
          <w:bCs/>
          <w:color w:val="auto"/>
          <w:sz w:val="21"/>
          <w:szCs w:val="21"/>
        </w:rPr>
        <w:t>(项目编号</w:t>
      </w:r>
      <w:r>
        <w:rPr>
          <w:rFonts w:hint="eastAsia" w:ascii="宋体" w:hAnsi="宋体" w:cs="宋体"/>
          <w:bCs/>
          <w:color w:val="auto"/>
          <w:sz w:val="21"/>
          <w:szCs w:val="21"/>
          <w:lang w:eastAsia="zh-CN"/>
        </w:rPr>
        <w:t>：</w:t>
      </w:r>
      <w:r>
        <w:rPr>
          <w:rFonts w:hint="eastAsia" w:ascii="宋体" w:hAnsi="宋体" w:cs="宋体"/>
          <w:bCs/>
          <w:color w:val="auto"/>
          <w:sz w:val="21"/>
          <w:szCs w:val="21"/>
          <w:u w:val="single"/>
          <w:lang w:val="en-US" w:eastAsia="zh-CN"/>
        </w:rPr>
        <w:t xml:space="preserve">           </w:t>
      </w:r>
      <w:r>
        <w:rPr>
          <w:rFonts w:hint="eastAsia" w:ascii="宋体" w:hAnsi="宋体" w:eastAsia="宋体" w:cs="宋体"/>
          <w:bCs/>
          <w:color w:val="auto"/>
          <w:sz w:val="21"/>
          <w:szCs w:val="21"/>
        </w:rPr>
        <w:t>)的</w:t>
      </w:r>
      <w:r>
        <w:rPr>
          <w:rFonts w:hint="eastAsia" w:ascii="宋体" w:hAnsi="宋体" w:cs="宋体"/>
          <w:bCs/>
          <w:color w:val="auto"/>
          <w:sz w:val="21"/>
          <w:szCs w:val="21"/>
          <w:lang w:val="en-US" w:eastAsia="zh-CN"/>
        </w:rPr>
        <w:t>招标</w:t>
      </w:r>
      <w:r>
        <w:rPr>
          <w:rFonts w:hint="eastAsia" w:ascii="宋体" w:hAnsi="宋体" w:eastAsia="宋体" w:cs="宋体"/>
          <w:bCs/>
          <w:color w:val="auto"/>
          <w:sz w:val="21"/>
          <w:szCs w:val="21"/>
        </w:rPr>
        <w:t>文件、</w:t>
      </w:r>
      <w:r>
        <w:rPr>
          <w:rFonts w:hint="eastAsia" w:ascii="宋体" w:hAnsi="宋体" w:cs="宋体"/>
          <w:bCs/>
          <w:color w:val="auto"/>
          <w:sz w:val="21"/>
          <w:szCs w:val="21"/>
          <w:lang w:val="en-US" w:eastAsia="zh-CN"/>
        </w:rPr>
        <w:t>采购</w:t>
      </w:r>
      <w:r>
        <w:rPr>
          <w:rFonts w:hint="eastAsia" w:ascii="宋体" w:hAnsi="宋体" w:eastAsia="宋体" w:cs="宋体"/>
          <w:bCs/>
          <w:color w:val="auto"/>
          <w:sz w:val="21"/>
          <w:szCs w:val="21"/>
        </w:rPr>
        <w:t>结果和</w:t>
      </w:r>
      <w:r>
        <w:rPr>
          <w:rFonts w:hint="eastAsia" w:ascii="宋体" w:hAnsi="宋体" w:cs="宋体"/>
          <w:bCs/>
          <w:color w:val="auto"/>
          <w:sz w:val="21"/>
          <w:szCs w:val="21"/>
          <w:lang w:val="en-US" w:eastAsia="zh-CN"/>
        </w:rPr>
        <w:t>响应</w:t>
      </w:r>
      <w:r>
        <w:rPr>
          <w:rFonts w:hint="eastAsia" w:ascii="宋体" w:hAnsi="宋体" w:eastAsia="宋体" w:cs="宋体"/>
          <w:bCs/>
          <w:color w:val="auto"/>
          <w:sz w:val="21"/>
          <w:szCs w:val="21"/>
        </w:rPr>
        <w:t>文件等有关规定，为确保</w:t>
      </w:r>
      <w:r>
        <w:rPr>
          <w:rFonts w:hint="eastAsia" w:ascii="宋体" w:hAnsi="宋体" w:cs="宋体"/>
          <w:bCs/>
          <w:color w:val="auto"/>
          <w:sz w:val="21"/>
          <w:szCs w:val="21"/>
          <w:u w:val="single"/>
          <w:lang w:val="en-US" w:eastAsia="zh-CN"/>
        </w:rPr>
        <w:t xml:space="preserve">   （采购项目名称）    </w:t>
      </w:r>
      <w:r>
        <w:rPr>
          <w:rFonts w:hint="eastAsia" w:ascii="宋体" w:hAnsi="宋体" w:eastAsia="宋体" w:cs="宋体"/>
          <w:bCs/>
          <w:color w:val="auto"/>
          <w:sz w:val="21"/>
          <w:szCs w:val="21"/>
        </w:rPr>
        <w:t>顺利实施，经甲、乙双方协商，在平等自愿原则下签订本合同，并共同遵守如下条款</w:t>
      </w:r>
      <w:r>
        <w:rPr>
          <w:rFonts w:hint="eastAsia" w:ascii="宋体" w:hAnsi="宋体" w:cs="宋体"/>
          <w:bCs/>
          <w:color w:val="auto"/>
          <w:sz w:val="21"/>
          <w:szCs w:val="21"/>
          <w:lang w:eastAsia="zh-CN"/>
        </w:rPr>
        <w:t>：</w:t>
      </w:r>
    </w:p>
    <w:p w14:paraId="3E20C401">
      <w:pPr>
        <w:keepLines w:val="0"/>
        <w:pageBreakBefore w:val="0"/>
        <w:numPr>
          <w:ilvl w:val="0"/>
          <w:numId w:val="0"/>
        </w:numPr>
        <w:kinsoku/>
        <w:wordWrap/>
        <w:overflowPunct/>
        <w:topLinePunct w:val="0"/>
        <w:bidi w:val="0"/>
        <w:spacing w:line="460" w:lineRule="exact"/>
        <w:ind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一、合同文件</w:t>
      </w:r>
      <w:bookmarkStart w:id="3" w:name="_GoBack"/>
      <w:bookmarkEnd w:id="3"/>
    </w:p>
    <w:p w14:paraId="33F5FD91">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(1)合同条款；</w:t>
      </w:r>
    </w:p>
    <w:p w14:paraId="177A74D5">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cs="宋体"/>
          <w:color w:val="auto"/>
          <w:sz w:val="21"/>
          <w:szCs w:val="21"/>
          <w:lang w:eastAsia="zh-CN"/>
        </w:rPr>
        <w:t>中标</w:t>
      </w:r>
      <w:r>
        <w:rPr>
          <w:rFonts w:hint="eastAsia" w:ascii="宋体" w:hAnsi="宋体" w:eastAsia="宋体" w:cs="宋体"/>
          <w:color w:val="auto"/>
          <w:sz w:val="21"/>
          <w:szCs w:val="21"/>
        </w:rPr>
        <w:t>通知书；</w:t>
      </w:r>
    </w:p>
    <w:p w14:paraId="6BB92F88">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(3)</w:t>
      </w:r>
      <w:r>
        <w:rPr>
          <w:rFonts w:hint="eastAsia" w:ascii="宋体" w:hAnsi="宋体" w:cs="宋体"/>
          <w:color w:val="auto"/>
          <w:sz w:val="21"/>
          <w:szCs w:val="21"/>
          <w:lang w:eastAsia="zh-CN"/>
        </w:rPr>
        <w:t>投标</w:t>
      </w:r>
      <w:r>
        <w:rPr>
          <w:rFonts w:hint="eastAsia" w:ascii="宋体" w:hAnsi="宋体" w:eastAsia="宋体" w:cs="宋体"/>
          <w:color w:val="auto"/>
          <w:sz w:val="21"/>
          <w:szCs w:val="21"/>
        </w:rPr>
        <w:t>文件；</w:t>
      </w:r>
    </w:p>
    <w:p w14:paraId="0E2A4333">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w:t>
      </w:r>
      <w:r>
        <w:rPr>
          <w:rFonts w:hint="eastAsia" w:ascii="宋体" w:hAnsi="宋体" w:cs="宋体"/>
          <w:color w:val="auto"/>
          <w:sz w:val="21"/>
          <w:szCs w:val="21"/>
          <w:lang w:eastAsia="zh-CN"/>
        </w:rPr>
        <w:t>招标</w:t>
      </w:r>
      <w:r>
        <w:rPr>
          <w:rFonts w:hint="eastAsia" w:ascii="宋体" w:hAnsi="宋体" w:eastAsia="宋体" w:cs="宋体"/>
          <w:color w:val="auto"/>
          <w:sz w:val="21"/>
          <w:szCs w:val="21"/>
        </w:rPr>
        <w:t>文件</w:t>
      </w:r>
      <w:r>
        <w:rPr>
          <w:rFonts w:hint="eastAsia" w:ascii="宋体" w:hAnsi="宋体" w:cs="宋体"/>
          <w:color w:val="auto"/>
          <w:sz w:val="21"/>
          <w:szCs w:val="21"/>
          <w:lang w:eastAsia="zh-CN"/>
        </w:rPr>
        <w:t>；</w:t>
      </w:r>
    </w:p>
    <w:p w14:paraId="6CFA917D">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cs="宋体"/>
          <w:color w:val="auto"/>
          <w:sz w:val="21"/>
          <w:szCs w:val="21"/>
          <w:lang w:val="en-US" w:eastAsia="zh-CN"/>
        </w:rPr>
        <w:t>5</w:t>
      </w:r>
      <w:r>
        <w:rPr>
          <w:rFonts w:hint="eastAsia" w:ascii="宋体" w:hAnsi="宋体" w:eastAsia="宋体" w:cs="宋体"/>
          <w:color w:val="auto"/>
          <w:sz w:val="21"/>
          <w:szCs w:val="21"/>
        </w:rPr>
        <w:t>)合同及其附件</w:t>
      </w:r>
    </w:p>
    <w:p w14:paraId="67F0B020">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cs="宋体"/>
          <w:color w:val="auto"/>
          <w:sz w:val="21"/>
          <w:szCs w:val="21"/>
          <w:lang w:val="en-US" w:eastAsia="zh-CN"/>
        </w:rPr>
        <w:t>6</w:t>
      </w:r>
      <w:r>
        <w:rPr>
          <w:rFonts w:hint="eastAsia" w:ascii="宋体" w:hAnsi="宋体" w:eastAsia="宋体" w:cs="宋体"/>
          <w:color w:val="auto"/>
          <w:sz w:val="21"/>
          <w:szCs w:val="21"/>
        </w:rPr>
        <w:t>)合同补充条款或说明</w:t>
      </w:r>
    </w:p>
    <w:p w14:paraId="171BC125">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上述文件将相互补充，甲乙双方必须予以遵守执行。若有不明确或不一致之处，以上列次序中后者解释为准。</w:t>
      </w:r>
    </w:p>
    <w:p w14:paraId="4C4E3555">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二、合同范围和条件</w:t>
      </w:r>
    </w:p>
    <w:p w14:paraId="2AE7D43A">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本合同的范围和条件与上述规定的合同文件内容一致</w:t>
      </w:r>
      <w:r>
        <w:rPr>
          <w:rFonts w:hint="eastAsia" w:ascii="宋体" w:hAnsi="宋体" w:cs="宋体"/>
          <w:color w:val="auto"/>
          <w:sz w:val="21"/>
          <w:szCs w:val="21"/>
          <w:lang w:eastAsia="zh-CN"/>
        </w:rPr>
        <w:t>。</w:t>
      </w:r>
    </w:p>
    <w:p w14:paraId="524D6B1E">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三、合同内容</w:t>
      </w:r>
    </w:p>
    <w:p w14:paraId="461BA17B">
      <w:pPr>
        <w:keepLines w:val="0"/>
        <w:pageBreakBefore w:val="0"/>
        <w:kinsoku/>
        <w:wordWrap/>
        <w:overflowPunct/>
        <w:topLinePunct w:val="0"/>
        <w:bidi w:val="0"/>
        <w:spacing w:line="460" w:lineRule="exact"/>
        <w:ind w:firstLine="420" w:firstLineChars="200"/>
        <w:textAlignment w:val="auto"/>
        <w:rPr>
          <w:rFonts w:hint="default" w:ascii="宋体" w:hAnsi="宋体" w:cs="宋体"/>
          <w:color w:val="auto"/>
          <w:sz w:val="21"/>
          <w:szCs w:val="21"/>
          <w:u w:val="single"/>
          <w:lang w:val="en-US" w:eastAsia="zh-CN"/>
        </w:rPr>
      </w:pPr>
      <w:r>
        <w:rPr>
          <w:rFonts w:hint="eastAsia" w:ascii="宋体" w:hAnsi="宋体" w:cs="宋体"/>
          <w:color w:val="auto"/>
          <w:sz w:val="21"/>
          <w:szCs w:val="21"/>
          <w:u w:val="single"/>
          <w:lang w:val="en-US" w:eastAsia="zh-CN"/>
        </w:rPr>
        <w:t>项目实施范围涵盖铜川市域全境，以中心城区为中点，开展城市适应气候变化风险及脆弱性评估。主要对铜川市发改、气象、自然资源、水务、林业、生态环境、卫生等部门相关数据开展数据收集和调查工作，针对铜川市重点领域气候变化风险程度、范围进行综合分析、评估和诊断，结合铜川市气候变化风险变化趋势，动态更新铜川市气候变化风险类型，根据重点领域风险评估结果建立完善铜川市分领域分类型气候安全风险管理工作机制，助力气候变化风险管理科学决策。主要工作内容为：</w:t>
      </w:r>
    </w:p>
    <w:p w14:paraId="34003066">
      <w:pPr>
        <w:keepLines w:val="0"/>
        <w:pageBreakBefore w:val="0"/>
        <w:kinsoku/>
        <w:wordWrap/>
        <w:overflowPunct/>
        <w:topLinePunct w:val="0"/>
        <w:bidi w:val="0"/>
        <w:spacing w:line="460" w:lineRule="exact"/>
        <w:ind w:firstLine="420" w:firstLineChars="200"/>
        <w:textAlignment w:val="auto"/>
        <w:rPr>
          <w:rFonts w:hint="eastAsia" w:ascii="宋体" w:hAnsi="宋体" w:cs="宋体"/>
          <w:color w:val="auto"/>
          <w:sz w:val="21"/>
          <w:szCs w:val="21"/>
          <w:u w:val="single"/>
          <w:lang w:val="en-US" w:eastAsia="zh-CN"/>
        </w:rPr>
      </w:pPr>
      <w:r>
        <w:rPr>
          <w:rFonts w:hint="eastAsia" w:ascii="宋体" w:hAnsi="宋体" w:cs="宋体"/>
          <w:color w:val="auto"/>
          <w:sz w:val="21"/>
          <w:szCs w:val="21"/>
          <w:u w:val="single"/>
          <w:lang w:val="en-US" w:eastAsia="zh-CN"/>
        </w:rPr>
        <w:t>1.构建气候变化风险评估技术方法。对于气候变化下干旱、高温热浪、洪涝等极端事件导致的水资源、基础设施、社会经济（人口和经济）风险用突发事件的评估方法进行评估，围绕生态系统、水资源、基础设施、人口和经济等承险体的风险，构建铜川市气候变化风险评估技术方法。</w:t>
      </w:r>
    </w:p>
    <w:p w14:paraId="5379E6C3">
      <w:pPr>
        <w:keepLines w:val="0"/>
        <w:pageBreakBefore w:val="0"/>
        <w:kinsoku/>
        <w:wordWrap/>
        <w:overflowPunct/>
        <w:topLinePunct w:val="0"/>
        <w:bidi w:val="0"/>
        <w:spacing w:line="460" w:lineRule="exact"/>
        <w:ind w:firstLine="420" w:firstLineChars="200"/>
        <w:textAlignment w:val="auto"/>
        <w:rPr>
          <w:rFonts w:hint="eastAsia" w:ascii="宋体" w:hAnsi="宋体" w:cs="宋体"/>
          <w:color w:val="auto"/>
          <w:sz w:val="21"/>
          <w:szCs w:val="21"/>
          <w:u w:val="single"/>
          <w:lang w:val="en-US" w:eastAsia="zh-CN"/>
        </w:rPr>
      </w:pPr>
      <w:r>
        <w:rPr>
          <w:rFonts w:hint="eastAsia" w:ascii="宋体" w:hAnsi="宋体" w:cs="宋体"/>
          <w:color w:val="auto"/>
          <w:sz w:val="21"/>
          <w:szCs w:val="21"/>
          <w:u w:val="single"/>
          <w:lang w:val="en-US" w:eastAsia="zh-CN"/>
        </w:rPr>
        <w:t>2.开展气候关键致险因子危险性分析。基于气候适应型城市基础数据，开展铜川市气候变化风险关键致灾因子危险性分析。针对不同的系统单元、行业，每个气候因子采用不同的单个或多个指标的均值、频率、分布范围、变化趋势等统计特征来描述，编制《铜川市气候关键致灾因子危险性分析报告》</w:t>
      </w:r>
    </w:p>
    <w:p w14:paraId="2EF4D29D">
      <w:pPr>
        <w:keepLines w:val="0"/>
        <w:pageBreakBefore w:val="0"/>
        <w:kinsoku/>
        <w:wordWrap/>
        <w:overflowPunct/>
        <w:topLinePunct w:val="0"/>
        <w:bidi w:val="0"/>
        <w:spacing w:line="460" w:lineRule="exact"/>
        <w:ind w:firstLine="420" w:firstLineChars="200"/>
        <w:textAlignment w:val="auto"/>
        <w:rPr>
          <w:rFonts w:hint="eastAsia" w:ascii="宋体" w:hAnsi="宋体" w:cs="宋体"/>
          <w:color w:val="auto"/>
          <w:sz w:val="21"/>
          <w:szCs w:val="21"/>
          <w:u w:val="single"/>
          <w:lang w:val="en-US" w:eastAsia="zh-CN"/>
        </w:rPr>
      </w:pPr>
      <w:r>
        <w:rPr>
          <w:rFonts w:hint="eastAsia" w:ascii="宋体" w:hAnsi="宋体" w:cs="宋体"/>
          <w:color w:val="auto"/>
          <w:sz w:val="21"/>
          <w:szCs w:val="21"/>
          <w:u w:val="single"/>
          <w:lang w:val="en-US" w:eastAsia="zh-CN"/>
        </w:rPr>
        <w:t>3.开展城市承险体脆弱性与暴露度评估。结合灾害关键致险因子危险性分析结果，建立完善城市承险体脆弱性与暴露度评估体系，分析铜川市现状生态系统、粮食生产、水资源、基础设施、人口和经济等承灾体脆弱性与暴露度，并基于未来气候变化预估数据开展预估评估，提高气候变化风险预判能力，识别关键的气候风险点，并分析风险形成原因，编制《铜川市承载体脆弱性雨暴露度评估报告》。</w:t>
      </w:r>
    </w:p>
    <w:p w14:paraId="45A61D2A">
      <w:pPr>
        <w:keepLines w:val="0"/>
        <w:pageBreakBefore w:val="0"/>
        <w:kinsoku/>
        <w:wordWrap/>
        <w:overflowPunct/>
        <w:topLinePunct w:val="0"/>
        <w:bidi w:val="0"/>
        <w:spacing w:line="460" w:lineRule="exact"/>
        <w:ind w:firstLine="420" w:firstLineChars="200"/>
        <w:textAlignment w:val="auto"/>
        <w:rPr>
          <w:rFonts w:hint="eastAsia" w:ascii="宋体" w:hAnsi="宋体" w:cs="宋体"/>
          <w:color w:val="auto"/>
          <w:sz w:val="21"/>
          <w:szCs w:val="21"/>
          <w:u w:val="single"/>
          <w:lang w:val="en-US" w:eastAsia="zh-CN"/>
        </w:rPr>
      </w:pPr>
      <w:r>
        <w:rPr>
          <w:rFonts w:hint="eastAsia" w:ascii="宋体" w:hAnsi="宋体" w:cs="宋体"/>
          <w:color w:val="auto"/>
          <w:sz w:val="21"/>
          <w:szCs w:val="21"/>
          <w:u w:val="single"/>
          <w:lang w:val="en-US" w:eastAsia="zh-CN"/>
        </w:rPr>
        <w:t>4.建立综合气候变化风险地图。耦合气候关键致险因子危险性分析和城市承险体脆弱性与暴露度评估结果，选择生态系统、粮食生产、水资源、基础设施、人口、经济等承险体，对不同气候变化敏感区和极端事件危险区进行承险体综合风险区划分，划分各区域主要气候风险及相应风险等级，绘制铜川市气候风险地图。</w:t>
      </w:r>
    </w:p>
    <w:p w14:paraId="7FD0737F">
      <w:pPr>
        <w:keepLines w:val="0"/>
        <w:pageBreakBefore w:val="0"/>
        <w:kinsoku/>
        <w:wordWrap/>
        <w:overflowPunct/>
        <w:topLinePunct w:val="0"/>
        <w:bidi w:val="0"/>
        <w:spacing w:line="460" w:lineRule="exact"/>
        <w:ind w:firstLine="420" w:firstLineChars="200"/>
        <w:textAlignment w:val="auto"/>
        <w:rPr>
          <w:rFonts w:hint="eastAsia" w:ascii="宋体" w:hAnsi="宋体" w:cs="宋体"/>
          <w:color w:val="auto"/>
          <w:sz w:val="21"/>
          <w:szCs w:val="21"/>
          <w:u w:val="single"/>
          <w:lang w:val="en-US" w:eastAsia="zh-CN"/>
        </w:rPr>
      </w:pPr>
      <w:r>
        <w:rPr>
          <w:rFonts w:hint="eastAsia" w:ascii="宋体" w:hAnsi="宋体" w:cs="宋体"/>
          <w:color w:val="auto"/>
          <w:sz w:val="21"/>
          <w:szCs w:val="21"/>
          <w:u w:val="single"/>
          <w:lang w:val="en-US" w:eastAsia="zh-CN"/>
        </w:rPr>
        <w:t>5.形成气候变化风险管理的相关对策。针对铜川市重点领域气候变化风险程度、范围进行综合分析、评估和诊断，集成长序列铜川市气候变化风险评估与预测，更新铜川市重点领域风险评估方法与相应结论，结合关键风险点的评估，形成铜川市气候灾害核心危险性因子评估监测方案，根据重点领域风险评估结果提出相关建议，为有效制定气候变化适应政策提供决策依据。</w:t>
      </w:r>
    </w:p>
    <w:p w14:paraId="064EDF43">
      <w:pPr>
        <w:keepLines w:val="0"/>
        <w:pageBreakBefore w:val="0"/>
        <w:kinsoku/>
        <w:wordWrap/>
        <w:overflowPunct/>
        <w:topLinePunct w:val="0"/>
        <w:bidi w:val="0"/>
        <w:spacing w:line="460" w:lineRule="exact"/>
        <w:ind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乙方提供技术服务的内容及范围以上述书面附件以及合同履行过程中双方确认的其他相关书面文件载明的内容为准，如甲方在技术服务成果交付前增加、变更服务内容及技术要求，则应以书面形式通知乙方，未书面通知的视为未增加、变更服务内容及技术要求。</w:t>
      </w:r>
    </w:p>
    <w:p w14:paraId="5562868E">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四、合同金额</w:t>
      </w:r>
    </w:p>
    <w:p w14:paraId="205ABCC1">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本合同总金额</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w:t>
      </w:r>
      <w:r>
        <w:rPr>
          <w:rFonts w:hint="eastAsia" w:ascii="宋体" w:hAnsi="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rPr>
        <w:t>元，(大写)</w:t>
      </w: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rPr>
        <w:t>。</w:t>
      </w:r>
    </w:p>
    <w:p w14:paraId="24D9098E">
      <w:pPr>
        <w:keepLines w:val="0"/>
        <w:pageBreakBefore w:val="0"/>
        <w:shd w:val="clear" w:color="auto" w:fill="auto"/>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w:t>
      </w:r>
      <w:r>
        <w:rPr>
          <w:rFonts w:hint="eastAsia" w:ascii="宋体" w:hAnsi="宋体" w:cs="宋体"/>
          <w:b/>
          <w:bCs/>
          <w:color w:val="auto"/>
          <w:sz w:val="21"/>
          <w:szCs w:val="21"/>
          <w:highlight w:val="none"/>
          <w:lang w:val="en-US" w:eastAsia="zh-CN"/>
        </w:rPr>
        <w:t>付款</w:t>
      </w:r>
      <w:r>
        <w:rPr>
          <w:rFonts w:hint="eastAsia" w:ascii="宋体" w:hAnsi="宋体" w:eastAsia="宋体" w:cs="宋体"/>
          <w:b/>
          <w:bCs/>
          <w:color w:val="auto"/>
          <w:sz w:val="21"/>
          <w:szCs w:val="21"/>
          <w:highlight w:val="none"/>
        </w:rPr>
        <w:t>方式</w:t>
      </w:r>
    </w:p>
    <w:p w14:paraId="367B8D3F">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(一)项目按比例付款</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结算方式为银行转账</w:t>
      </w:r>
      <w:r>
        <w:rPr>
          <w:rFonts w:hint="eastAsia" w:ascii="宋体" w:hAnsi="宋体" w:cs="宋体"/>
          <w:color w:val="auto"/>
          <w:sz w:val="21"/>
          <w:szCs w:val="21"/>
          <w:highlight w:val="none"/>
          <w:lang w:eastAsia="zh-CN"/>
        </w:rPr>
        <w:t>。</w:t>
      </w:r>
    </w:p>
    <w:p w14:paraId="077C5FF3">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cs="宋体"/>
          <w:color w:val="auto"/>
          <w:sz w:val="21"/>
          <w:szCs w:val="21"/>
          <w:highlight w:val="none"/>
          <w:u w:val="single"/>
          <w:lang w:val="en-US" w:eastAsia="zh-CN"/>
        </w:rPr>
      </w:pPr>
      <w:r>
        <w:rPr>
          <w:rFonts w:hint="eastAsia" w:ascii="宋体" w:hAnsi="宋体" w:cs="宋体"/>
          <w:color w:val="auto"/>
          <w:sz w:val="21"/>
          <w:szCs w:val="21"/>
          <w:highlight w:val="none"/>
          <w:u w:val="single"/>
          <w:lang w:val="en-US" w:eastAsia="zh-CN"/>
        </w:rPr>
        <w:t>合同签订且在收到供应商符合国家税收征管规定的发票后 ，达到付款条件起 15 日内，支付合同总金额的 30%。形成研究成果，并通过专家评审后 ，达到付款条件起 15 日内，支付合同总金额的 50%。完成最终成果并经采购人验收后 ，达到付款条件起 15 日内，支付合同总金额的 20%。</w:t>
      </w:r>
    </w:p>
    <w:p w14:paraId="53913DC3">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cs="宋体"/>
          <w:color w:val="auto"/>
          <w:sz w:val="21"/>
          <w:szCs w:val="21"/>
          <w:highlight w:val="none"/>
          <w:u w:val="single"/>
          <w:lang w:val="en-US" w:eastAsia="zh-CN"/>
        </w:rPr>
      </w:pPr>
      <w:r>
        <w:rPr>
          <w:rFonts w:hint="eastAsia" w:ascii="宋体" w:hAnsi="宋体" w:cs="宋体"/>
          <w:color w:val="auto"/>
          <w:sz w:val="21"/>
          <w:szCs w:val="21"/>
          <w:highlight w:val="none"/>
          <w:u w:val="single"/>
          <w:lang w:val="en-US" w:eastAsia="zh-CN"/>
        </w:rPr>
        <w:t>注：每次付款前，乙方需向采购人提供符合国家税收征管规定的发票，甲方自收到发票后将对应款项支付至乙方指定账号。</w:t>
      </w:r>
    </w:p>
    <w:p w14:paraId="1F2C02FD">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(二)财政拨款迟延的，付款时间在约定基础上自动顺延为财政拨款到位五个工作日内。</w:t>
      </w:r>
    </w:p>
    <w:p w14:paraId="41DF2DB2">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(三)甲方每次付款前，乙方应当向甲方开具符合甲方要求的等额发票。否则，甲方的付款义务不发生，且不得因此延误合同的履行。</w:t>
      </w:r>
    </w:p>
    <w:p w14:paraId="60E04871">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甲方在乙方技术服务成果交付前增加、变更服务内容及要求，如增加了乙方工作量及完成工作的难度，乙方有权请求增加相应技术服务费，技术服务成果交付时间相应顺延。增加技术服务费的金额，由乙方提出请求后，双方另行协商确定并签订补充协议。</w:t>
      </w:r>
    </w:p>
    <w:p w14:paraId="52148D2C">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六、项目实施期</w:t>
      </w:r>
    </w:p>
    <w:p w14:paraId="08B5349A">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服务期限</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自合同签订时间起至2025年12月31日</w:t>
      </w:r>
    </w:p>
    <w:p w14:paraId="39F191F9">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服务地点</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铜川市</w:t>
      </w:r>
    </w:p>
    <w:p w14:paraId="215D6901">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服务响应时间</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乙方应对甲方所反映的任何问题线上1小时内做出及时响应，如甲方要求乙方到达指定地点提供服务的，4小时之内赶到现场实地解决问题。如乙方无故未依约履行本条款的内容，甲方有权另行委托第三方处理，由此产生的一切责任后果及费用等凭相关票据全部由乙方据实承担。</w:t>
      </w:r>
    </w:p>
    <w:p w14:paraId="3D56C632">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七、服务质量</w:t>
      </w:r>
    </w:p>
    <w:p w14:paraId="3E4607DD">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1.乙方应保证提供给甲方的服务完全符合本项目采购文件规定的服务标准。</w:t>
      </w:r>
    </w:p>
    <w:p w14:paraId="2DD4DC12">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2.乙方应保证提供的服务应符合中华人民共和国相关标准及相应的技术规范、本次采购相关文件中的全部相关要求、相关标准及相应的技术规范中之较高或最新者。</w:t>
      </w:r>
    </w:p>
    <w:p w14:paraId="04C0E79D">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3.甲方对服务质量的检验，应依据本项目采购文件中的有关规定进行。</w:t>
      </w:r>
    </w:p>
    <w:p w14:paraId="4D8F38B5">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4.乙方</w:t>
      </w:r>
      <w:r>
        <w:rPr>
          <w:rFonts w:hint="eastAsia" w:ascii="宋体" w:hAnsi="宋体" w:cs="宋体"/>
          <w:b w:val="0"/>
          <w:bCs w:val="0"/>
          <w:color w:val="auto"/>
          <w:sz w:val="21"/>
          <w:szCs w:val="21"/>
          <w:lang w:val="en-US" w:eastAsia="zh-CN"/>
        </w:rPr>
        <w:t>应</w:t>
      </w:r>
      <w:r>
        <w:rPr>
          <w:rFonts w:hint="eastAsia" w:ascii="宋体" w:hAnsi="宋体" w:eastAsia="宋体" w:cs="宋体"/>
          <w:b w:val="0"/>
          <w:bCs w:val="0"/>
          <w:color w:val="auto"/>
          <w:sz w:val="21"/>
          <w:szCs w:val="21"/>
        </w:rPr>
        <w:t>保证乙方依据本合同提供的服务和技术资料，乙方均已得到有关知识产权的权利人的合法授权，不存在任何权利上的瑕疵，保证甲方使用该服务或服务内容的任何一部分时，免受第三方提出的侵犯其专利权、商标权、著作权或其它知识产权的起诉。任何第三方如果提出侵权指控，乙方需与第三方交涉并承担由此引起的一切法律责任和费用，如给甲方造成任何损失、责任，全部由乙方赔偿、承担，且甲方有权向乙方追偿。乙方还应向甲方承担合同总金额30%的违约金。本项目实施过程中产生的工作成果所有权和使用权归甲方所有。未经甲方书面同意，乙方不得转让和使用本项目的成果。</w:t>
      </w:r>
    </w:p>
    <w:p w14:paraId="491AAA48">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5.本合同履行期间因乙方过错导致乙方对自身、甲方及其他第三人造成的安全生产事故、人身损害、财产损害等一切责任由乙方自行承担，与甲方无关，甲方因此承担责任的，可以向乙方追偿。</w:t>
      </w:r>
    </w:p>
    <w:p w14:paraId="3DBEFA32">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八、项目管理</w:t>
      </w:r>
    </w:p>
    <w:p w14:paraId="33A86D41">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1.乙方要指定</w:t>
      </w:r>
      <w:r>
        <w:rPr>
          <w:rFonts w:hint="eastAsia" w:ascii="宋体" w:hAnsi="宋体" w:cs="宋体"/>
          <w:b w:val="0"/>
          <w:bCs w:val="0"/>
          <w:color w:val="auto"/>
          <w:sz w:val="21"/>
          <w:szCs w:val="21"/>
          <w:u w:val="single"/>
          <w:lang w:val="en-US" w:eastAsia="zh-CN"/>
        </w:rPr>
        <w:t xml:space="preserve"> （项目负责人姓名）</w:t>
      </w:r>
      <w:r>
        <w:rPr>
          <w:rFonts w:hint="eastAsia" w:ascii="宋体" w:hAnsi="宋体" w:eastAsia="宋体" w:cs="宋体"/>
          <w:b w:val="0"/>
          <w:bCs w:val="0"/>
          <w:color w:val="auto"/>
          <w:sz w:val="21"/>
          <w:szCs w:val="21"/>
        </w:rPr>
        <w:t>全权负责该项目的商务和技术。如人员有变更应立即书面通知甲方，否则，由此产生的一切责任及后果等全部由乙方自行承担。项目每一阶段实施和验收均由其管理、配合，否则，甲方有权拒付后续款项，且不承担任何责任。</w:t>
      </w:r>
    </w:p>
    <w:p w14:paraId="0D25876F">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2.甲方向乙方提供项目所需相关资料并指定专人协助乙方。</w:t>
      </w:r>
    </w:p>
    <w:p w14:paraId="38EFF4A7">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因甲方提供相关资料延迟，乙方完成技术服务成果的交付时间相应顺延。如乙方书面催告甲方后，甲方仍延迟提供资料或提供的资料不符合要求，导致乙方不能完成或部分服务内容不能完成时，乙方不承担违约责任。</w:t>
      </w:r>
    </w:p>
    <w:p w14:paraId="3D5E42B7">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九、保密</w:t>
      </w:r>
    </w:p>
    <w:p w14:paraId="21620048">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乙方对甲方所提供的资料及本合同执行过程中接触或产生的资料负有保密义务，未经甲方书面许可，乙方不得向任何第三方披露。如果因乙方原因造成发生任何有损于其保密性的事件，乙方有责任采取补措施，直至就此向甲方赔偿损失。甲方有权要求乙方支付违约金，违约金的数额按合同总金额10%计算，如上述违约金不足以补偿甲方损失，甲方仍有权向乙方主张权利。</w:t>
      </w:r>
    </w:p>
    <w:p w14:paraId="150EFC6F">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十、验收方案</w:t>
      </w:r>
    </w:p>
    <w:p w14:paraId="3DC00DE7">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eastAsia="宋体" w:cs="宋体"/>
          <w:b w:val="0"/>
          <w:bCs w:val="0"/>
          <w:color w:val="auto"/>
          <w:sz w:val="21"/>
          <w:szCs w:val="21"/>
        </w:rPr>
        <w:t>1.</w:t>
      </w:r>
      <w:r>
        <w:rPr>
          <w:rFonts w:hint="eastAsia" w:ascii="宋体" w:hAnsi="宋体" w:cs="宋体"/>
          <w:b w:val="0"/>
          <w:bCs w:val="0"/>
          <w:color w:val="auto"/>
          <w:sz w:val="21"/>
          <w:szCs w:val="21"/>
          <w:lang w:eastAsia="zh-CN"/>
        </w:rPr>
        <w:t>履约验收时间：供应商提出验收申请之日起30日内组织验收。</w:t>
      </w:r>
    </w:p>
    <w:p w14:paraId="03BAABE2">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2.验收交付标准：严格按照本项目招标文件、乙方投标文件、本合同文本、铜川市生态环境局《铜川市2025年气候适应型国家试点城市风险评估项目实施方案》及国家/行业相关标准及规范等要求标准验收。</w:t>
      </w:r>
    </w:p>
    <w:p w14:paraId="54D70B2E">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val="en-US" w:eastAsia="zh-CN"/>
        </w:rPr>
        <w:t>3.</w:t>
      </w:r>
      <w:r>
        <w:rPr>
          <w:rFonts w:hint="eastAsia" w:ascii="宋体" w:hAnsi="宋体" w:eastAsia="宋体" w:cs="宋体"/>
          <w:b w:val="0"/>
          <w:bCs w:val="0"/>
          <w:color w:val="auto"/>
          <w:sz w:val="21"/>
          <w:szCs w:val="21"/>
        </w:rPr>
        <w:t>服务应符合国家标准(无国家标准的按部标或行业标准)或其原产地国家有关部门最新颁布的正式标准及甲方要求</w:t>
      </w:r>
      <w:r>
        <w:rPr>
          <w:rFonts w:hint="eastAsia" w:ascii="宋体" w:hAnsi="宋体" w:cs="宋体"/>
          <w:b w:val="0"/>
          <w:bCs w:val="0"/>
          <w:color w:val="auto"/>
          <w:sz w:val="21"/>
          <w:szCs w:val="21"/>
          <w:lang w:eastAsia="zh-CN"/>
        </w:rPr>
        <w:t>。</w:t>
      </w:r>
    </w:p>
    <w:p w14:paraId="5C23CF98">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val="en-US" w:eastAsia="zh-CN"/>
        </w:rPr>
        <w:t>4</w:t>
      </w:r>
      <w:r>
        <w:rPr>
          <w:rFonts w:hint="eastAsia" w:ascii="宋体" w:hAnsi="宋体" w:eastAsia="宋体" w:cs="宋体"/>
          <w:b w:val="0"/>
          <w:bCs w:val="0"/>
          <w:color w:val="auto"/>
          <w:sz w:val="21"/>
          <w:szCs w:val="21"/>
        </w:rPr>
        <w:t>.由甲方组建验收小组,验收小组根据项目验收清单和标准招标文件对项目的技术规定和要求、乙方的投标承诺情况、合同明确约定的要求实施验收并出具验收意见。服务期内未实施完服务内容，甲方有权暂缓验收。</w:t>
      </w:r>
    </w:p>
    <w:p w14:paraId="79BE7AF5">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val="en-US" w:eastAsia="zh-CN"/>
        </w:rPr>
        <w:t>5</w:t>
      </w:r>
      <w:r>
        <w:rPr>
          <w:rFonts w:hint="eastAsia" w:ascii="宋体" w:hAnsi="宋体" w:eastAsia="宋体" w:cs="宋体"/>
          <w:b w:val="0"/>
          <w:bCs w:val="0"/>
          <w:color w:val="auto"/>
          <w:sz w:val="21"/>
          <w:szCs w:val="21"/>
        </w:rPr>
        <w:t>.服务达不到质量要求，甲方有权拒收，乙方应按照甲方出具的书面修改意见及期限进行修正，仍达不到甲方要求，甲方不予支付剩余费用，并可以解除合同</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乙方应承担合同总金额10%的违约金，此外由此引起甲方损失及赔偿责任由乙方承担。</w:t>
      </w:r>
    </w:p>
    <w:p w14:paraId="4EC0CF04">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val="en-US" w:eastAsia="zh-CN"/>
        </w:rPr>
        <w:t>6</w:t>
      </w:r>
      <w:r>
        <w:rPr>
          <w:rFonts w:hint="eastAsia" w:ascii="宋体" w:hAnsi="宋体" w:eastAsia="宋体" w:cs="宋体"/>
          <w:b w:val="0"/>
          <w:bCs w:val="0"/>
          <w:color w:val="auto"/>
          <w:sz w:val="21"/>
          <w:szCs w:val="21"/>
        </w:rPr>
        <w:t>.甲方承诺尊重乙方的劳动成果及乙方在其行业内的一般从业习惯，不会就乙方提交的方案成果提出超出行业内提供同类工作正常标准的要求，甲方不会在无正当理由的情况下对乙方提交的方案成果验收不得拒绝验收。</w:t>
      </w:r>
    </w:p>
    <w:p w14:paraId="045CD934">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十一、售后服务</w:t>
      </w:r>
    </w:p>
    <w:p w14:paraId="652D0BEC">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乙方必须建立健全项目售后服务体系，确保项目正常运行。乙方在项目验收完成项目后一年内(12个月)，应当继续提供无偿咨询服务、指导和建议等技术支持。甲方需要乙方提供相应服务的，乙方应当按照合同第六条约定的时间与方式提供服务。否则，按次返还甲方10%的服务费</w:t>
      </w:r>
    </w:p>
    <w:p w14:paraId="40A6D696">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十二、合同的变更与解除</w:t>
      </w:r>
    </w:p>
    <w:p w14:paraId="4506A661">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1.合同履行期间,甲方提出或由于甲方原因需要对项目进行修改或变更时，乙方应予以积极配合。因乙方自身原因3次及以上不能履行工作任务的，由乙方自行承担责任。且甲方有权解除合同。</w:t>
      </w:r>
    </w:p>
    <w:p w14:paraId="3E2131C5">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当乙方未履行全部或部分合同义务，而又无正当理由，甲方可发出书面警告直至解除实施合同，同时乙方承担违约责任，向甲方承担合同总价10%违约金，并赔偿由此给甲方造成的一切损失(包括直接损失与间接损失)。乙方出现隐瞒改、弄虚作假、重大错误、恶意串通等严重违约情形，甲方立即解除合同，将乙方行为记入诚信档案，并在信息平台上公布有关信息，乙方承担违约责任，构成犯罪的，依法追究刑事责任。</w:t>
      </w:r>
    </w:p>
    <w:p w14:paraId="7D88002F">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3.当事人一方要求变更或解除本合同时,应当在三十日前以书面形式通知另一方。因解除实施合同使另一方遭受损失的，除依法可以免除责任的情况外，应由责任方负责赔偿</w:t>
      </w:r>
    </w:p>
    <w:p w14:paraId="0ED990E1">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4.乙方应承担服务内容的保密责任，不得利用本项目的有关资料对外开展技术交流、业务联系等。否则，甲方有权终止合同，除乙方应承担10%的违约金外，还应赔偿由此给甲方造成的一切损失(包括直接损失与间接损失)</w:t>
      </w:r>
    </w:p>
    <w:p w14:paraId="3E339F4A">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5.合同解除后，乙方有权就其于本合同终止之日前对约定的业务服务项目所做的工作据实结算。</w:t>
      </w:r>
    </w:p>
    <w:p w14:paraId="3FB3B0F9">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6.本合同的变更或修改，必须采用书面形式。</w:t>
      </w:r>
    </w:p>
    <w:p w14:paraId="7E8AF3A7">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十三、分包与转让</w:t>
      </w:r>
    </w:p>
    <w:p w14:paraId="648B12EB">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1.除甲方事先书面同意并成为合同的一部分外，乙方不得部分转让或全部转让其应履行的合同义务。</w:t>
      </w:r>
    </w:p>
    <w:p w14:paraId="55DE53F6">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2.除了合同各方共同签署书面修改协议，并成为本合同不可分割的一部分情况之外，本合同的条件不得有任何变化或修改。</w:t>
      </w:r>
    </w:p>
    <w:p w14:paraId="266250F6">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十四、合同的生效</w:t>
      </w:r>
    </w:p>
    <w:p w14:paraId="74784DBF">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本合同经甲乙双方法定代表人或授权代表签署并加盖公章或加盖合同专用章后生效。</w:t>
      </w:r>
    </w:p>
    <w:p w14:paraId="63FFC9FD">
      <w:pPr>
        <w:keepLines w:val="0"/>
        <w:pageBreakBefore w:val="0"/>
        <w:kinsoku/>
        <w:wordWrap/>
        <w:overflowPunct/>
        <w:topLinePunct w:val="0"/>
        <w:bidi w:val="0"/>
        <w:spacing w:line="4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十五、违约条款</w:t>
      </w:r>
    </w:p>
    <w:p w14:paraId="41D01B29">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eastAsia="宋体" w:cs="宋体"/>
          <w:b w:val="0"/>
          <w:bCs w:val="0"/>
          <w:color w:val="auto"/>
          <w:sz w:val="21"/>
          <w:szCs w:val="21"/>
        </w:rPr>
        <w:t>1.乙方不履行合同或履行该合同不符合合同任何一项约定，应向甲方支付合同总额10%的违约金，且在乙方改正之前甲方有权停止支付后续合同款项</w:t>
      </w:r>
      <w:r>
        <w:rPr>
          <w:rFonts w:hint="eastAsia" w:ascii="宋体" w:hAnsi="宋体" w:cs="宋体"/>
          <w:b w:val="0"/>
          <w:bCs w:val="0"/>
          <w:color w:val="auto"/>
          <w:sz w:val="21"/>
          <w:szCs w:val="21"/>
          <w:lang w:eastAsia="zh-CN"/>
        </w:rPr>
        <w:t>。</w:t>
      </w:r>
    </w:p>
    <w:p w14:paraId="5826BCE0">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2.乙方给甲方造成的实际损失高于违约金的，对高出违约金的部分乙方应予以继续赔偿。</w:t>
      </w:r>
    </w:p>
    <w:p w14:paraId="2584D920">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3.乙方应按合同约定时间保质保量交付其服务工作内容，每迟交一天，按合同总金额的千分之五支付违约金，逾期超过30日，甲方有权解除合同，乙方应向甲方承担合同总价款10%的违约金并赔偿由此给甲方造成的一切损失。乙方若出现违约行为，每次应按合同总金额千分之五支付违约金。</w:t>
      </w:r>
    </w:p>
    <w:p w14:paraId="29015CE6">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4.乙方迟延履行合同、不完全履行合同，除支付本条第1款中的违约金外，乙方仍应按甲方要求继续实际履行合同:不履行或履行合同不符合合同任何一项约定，甲方均有权选择解除合同并就乙方违约给甲方造成的损失及违约金向乙方索赔。本合同中约定的违约金及实际损失，甲方有权从乙方的合同款中直接扣除。</w:t>
      </w:r>
    </w:p>
    <w:p w14:paraId="6B9FEFA6">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5.其它未尽事宜，以《中华人民共和国民法典》和其它有关法律、法规规定为准，无相关规定的，双方协商解决。</w:t>
      </w:r>
    </w:p>
    <w:p w14:paraId="33E8DF5F">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6.本合同项下，乙方违约金或损失赔偿，甲方均有权从合同总价款中直接扣除，乙方对此无异议。</w:t>
      </w:r>
    </w:p>
    <w:p w14:paraId="6E5EC205">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7.守约方为实现本合同项下的合法权益所支出的相关费用等由违约方承担。</w:t>
      </w:r>
    </w:p>
    <w:p w14:paraId="1584DCDD">
      <w:pPr>
        <w:keepLines w:val="0"/>
        <w:pageBreakBefore w:val="0"/>
        <w:kinsoku/>
        <w:wordWrap/>
        <w:overflowPunct/>
        <w:topLinePunct w:val="0"/>
        <w:bidi w:val="0"/>
        <w:spacing w:line="460" w:lineRule="exact"/>
        <w:ind w:firstLine="422" w:firstLineChars="200"/>
        <w:textAlignment w:val="auto"/>
        <w:rPr>
          <w:rFonts w:hint="eastAsia" w:ascii="宋体" w:hAnsi="宋体" w:cs="宋体"/>
          <w:b/>
          <w:bCs/>
          <w:color w:val="auto"/>
          <w:sz w:val="21"/>
          <w:szCs w:val="21"/>
          <w:lang w:eastAsia="zh-CN"/>
        </w:rPr>
      </w:pPr>
      <w:r>
        <w:rPr>
          <w:rFonts w:hint="eastAsia" w:ascii="宋体" w:hAnsi="宋体" w:cs="宋体"/>
          <w:b/>
          <w:bCs/>
          <w:color w:val="auto"/>
          <w:sz w:val="21"/>
          <w:szCs w:val="21"/>
          <w:lang w:eastAsia="zh-CN"/>
        </w:rPr>
        <w:t>十六、不可抗力</w:t>
      </w:r>
    </w:p>
    <w:p w14:paraId="3A662CD6">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甲、乙方中任何一方，因不可抗力不能及时或完全履行合同的，应及时通知对方，并在7天内提供相应证明。未履行合同部分是否继续履行、如何履行等问题，可由双方协商解决，但确定为不可抗力原因造成的损失，免予承担责任。</w:t>
      </w:r>
    </w:p>
    <w:p w14:paraId="7271370A">
      <w:pPr>
        <w:keepLines w:val="0"/>
        <w:pageBreakBefore w:val="0"/>
        <w:kinsoku/>
        <w:wordWrap/>
        <w:overflowPunct/>
        <w:topLinePunct w:val="0"/>
        <w:bidi w:val="0"/>
        <w:spacing w:line="460" w:lineRule="exact"/>
        <w:ind w:firstLine="422" w:firstLineChars="200"/>
        <w:textAlignment w:val="auto"/>
        <w:rPr>
          <w:rFonts w:hint="eastAsia" w:ascii="宋体" w:hAnsi="宋体" w:cs="宋体"/>
          <w:b/>
          <w:bCs/>
          <w:color w:val="auto"/>
          <w:sz w:val="21"/>
          <w:szCs w:val="21"/>
          <w:lang w:eastAsia="zh-CN"/>
        </w:rPr>
      </w:pPr>
      <w:r>
        <w:rPr>
          <w:rFonts w:hint="eastAsia" w:ascii="宋体" w:hAnsi="宋体" w:cs="宋体"/>
          <w:b/>
          <w:bCs/>
          <w:color w:val="auto"/>
          <w:sz w:val="21"/>
          <w:szCs w:val="21"/>
          <w:lang w:eastAsia="zh-CN"/>
        </w:rPr>
        <w:t>十七、争议的解决方式</w:t>
      </w:r>
    </w:p>
    <w:p w14:paraId="5FAEA7FB">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1.在解释或者执行本合同的过程中出现疑问或发生争议时，双方应通过协商方式解决。</w:t>
      </w:r>
    </w:p>
    <w:p w14:paraId="457313DB">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2.经协商不能解决的争议，可向甲方所在地有管辖权的人民法院提起诉讼。</w:t>
      </w:r>
    </w:p>
    <w:p w14:paraId="412394D1">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3.除有争议部分外,本合同其他部分应按合同条款继续履行。</w:t>
      </w:r>
    </w:p>
    <w:p w14:paraId="1DBF38BB">
      <w:pPr>
        <w:keepLines w:val="0"/>
        <w:pageBreakBefore w:val="0"/>
        <w:kinsoku/>
        <w:wordWrap/>
        <w:overflowPunct/>
        <w:topLinePunct w:val="0"/>
        <w:bidi w:val="0"/>
        <w:spacing w:line="460" w:lineRule="exact"/>
        <w:ind w:firstLine="422" w:firstLineChars="200"/>
        <w:textAlignment w:val="auto"/>
        <w:rPr>
          <w:rFonts w:hint="eastAsia" w:ascii="宋体" w:hAnsi="宋体" w:cs="宋体"/>
          <w:b/>
          <w:bCs/>
          <w:color w:val="auto"/>
          <w:sz w:val="21"/>
          <w:szCs w:val="21"/>
          <w:lang w:eastAsia="zh-CN"/>
        </w:rPr>
      </w:pPr>
      <w:r>
        <w:rPr>
          <w:rFonts w:hint="eastAsia" w:ascii="宋体" w:hAnsi="宋体" w:cs="宋体"/>
          <w:b/>
          <w:bCs/>
          <w:color w:val="auto"/>
          <w:sz w:val="21"/>
          <w:szCs w:val="21"/>
          <w:lang w:eastAsia="zh-CN"/>
        </w:rPr>
        <w:t>十八、其他</w:t>
      </w:r>
    </w:p>
    <w:p w14:paraId="28183876">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1.本合同未尽事宜，经双方协商可签订补充协议，所签订的补充协议与本合同具有同等的法律效力。</w:t>
      </w:r>
    </w:p>
    <w:p w14:paraId="59D2D4B0">
      <w:pPr>
        <w:keepLines w:val="0"/>
        <w:pageBreakBefore w:val="0"/>
        <w:kinsoku/>
        <w:wordWrap/>
        <w:overflowPunct/>
        <w:topLinePunct w:val="0"/>
        <w:bidi w:val="0"/>
        <w:spacing w:line="460" w:lineRule="exact"/>
        <w:ind w:firstLine="420" w:firstLineChars="200"/>
        <w:textAlignment w:val="auto"/>
        <w:rPr>
          <w:rFonts w:hint="eastAsia" w:ascii="宋体" w:hAnsi="宋体" w:cs="宋体"/>
          <w:b w:val="0"/>
          <w:bCs w:val="0"/>
          <w:color w:val="auto"/>
          <w:sz w:val="21"/>
          <w:szCs w:val="21"/>
          <w:lang w:eastAsia="zh-CN"/>
        </w:rPr>
      </w:pPr>
      <w:r>
        <w:rPr>
          <w:rFonts w:hint="eastAsia" w:ascii="宋体" w:hAnsi="宋体" w:cs="宋体"/>
          <w:b w:val="0"/>
          <w:bCs w:val="0"/>
          <w:color w:val="auto"/>
          <w:sz w:val="21"/>
          <w:szCs w:val="21"/>
          <w:lang w:eastAsia="zh-CN"/>
        </w:rPr>
        <w:t>2.本合同一式陆份，甲方肆份、乙方贰份。</w:t>
      </w:r>
    </w:p>
    <w:p w14:paraId="5A6742CF">
      <w:pPr>
        <w:keepLines w:val="0"/>
        <w:pageBreakBefore w:val="0"/>
        <w:kinsoku/>
        <w:wordWrap/>
        <w:overflowPunct/>
        <w:topLinePunct w:val="0"/>
        <w:bidi w:val="0"/>
        <w:spacing w:line="460" w:lineRule="exact"/>
        <w:ind w:firstLine="420" w:firstLineChars="200"/>
        <w:textAlignment w:val="auto"/>
        <w:rPr>
          <w:rFonts w:hint="eastAsia" w:ascii="宋体" w:hAnsi="宋体" w:eastAsia="宋体" w:cs="宋体"/>
          <w:b w:val="0"/>
          <w:bCs w:val="0"/>
          <w:color w:val="auto"/>
          <w:sz w:val="21"/>
          <w:szCs w:val="21"/>
        </w:rPr>
      </w:pPr>
    </w:p>
    <w:p w14:paraId="5CF9A69F">
      <w:pPr>
        <w:ind w:firstLine="420" w:firstLineChars="200"/>
        <w:rPr>
          <w:rFonts w:hint="eastAsia" w:ascii="宋体" w:hAnsi="宋体" w:cs="宋体"/>
          <w:color w:val="auto"/>
          <w:sz w:val="21"/>
          <w:szCs w:val="21"/>
          <w:highlight w:val="none"/>
          <w:lang w:val="en-US" w:eastAsia="zh-CN"/>
        </w:rPr>
      </w:pPr>
    </w:p>
    <w:p w14:paraId="7CD9DF12">
      <w:pPr>
        <w:ind w:firstLine="420" w:firstLineChars="200"/>
        <w:rPr>
          <w:rFonts w:hint="eastAsia" w:ascii="宋体" w:hAnsi="宋体" w:cs="宋体"/>
          <w:color w:val="auto"/>
          <w:sz w:val="21"/>
          <w:szCs w:val="21"/>
          <w:highlight w:val="none"/>
          <w:lang w:val="en-US" w:eastAsia="zh-CN"/>
        </w:rPr>
      </w:pPr>
    </w:p>
    <w:p w14:paraId="543746D1">
      <w:pPr>
        <w:ind w:firstLine="420" w:firstLineChars="200"/>
        <w:rPr>
          <w:rFonts w:hint="eastAsia" w:ascii="宋体" w:hAnsi="宋体" w:cs="宋体"/>
          <w:color w:val="auto"/>
          <w:sz w:val="21"/>
          <w:szCs w:val="21"/>
          <w:highlight w:val="none"/>
          <w:lang w:val="en-US" w:eastAsia="zh-CN"/>
        </w:rPr>
      </w:pPr>
    </w:p>
    <w:p w14:paraId="6FBEF204">
      <w:pPr>
        <w:ind w:firstLine="420" w:firstLineChars="200"/>
        <w:rPr>
          <w:rFonts w:hint="eastAsia" w:ascii="宋体" w:hAnsi="宋体" w:cs="宋体"/>
          <w:color w:val="auto"/>
          <w:sz w:val="21"/>
          <w:szCs w:val="21"/>
          <w:highlight w:val="none"/>
          <w:lang w:val="en-US" w:eastAsia="zh-CN"/>
        </w:rPr>
      </w:pPr>
    </w:p>
    <w:p w14:paraId="5264C377">
      <w:pPr>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 xml:space="preserve">：   （盖章）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   （盖章）</w:t>
      </w:r>
    </w:p>
    <w:p w14:paraId="056AD9C4">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法定代表人（授权代表）：           法定代表人（授权代表）：</w:t>
      </w:r>
    </w:p>
    <w:p w14:paraId="27077F36">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地址：</w:t>
      </w:r>
    </w:p>
    <w:p w14:paraId="5D4FDAB2">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52B87FDE">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                            账号：</w:t>
      </w:r>
    </w:p>
    <w:p w14:paraId="2F712AF2">
      <w:pPr>
        <w:keepLines w:val="0"/>
        <w:pageBreakBefore w:val="0"/>
        <w:shd w:val="clear" w:color="auto" w:fill="auto"/>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电话：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电话：</w:t>
      </w:r>
    </w:p>
    <w:p w14:paraId="30B8EE8F">
      <w:pPr>
        <w:keepNext/>
        <w:keepLines w:val="0"/>
        <w:pageBreakBefore w:val="0"/>
        <w:shd w:val="clear" w:color="auto" w:fill="auto"/>
        <w:kinsoku/>
        <w:wordWrap/>
        <w:overflowPunct/>
        <w:topLinePunct w:val="0"/>
        <w:bidi w:val="0"/>
        <w:spacing w:line="460" w:lineRule="exact"/>
        <w:ind w:firstLine="420" w:firstLineChars="200"/>
        <w:jc w:val="both"/>
        <w:textAlignment w:val="auto"/>
        <w:rPr>
          <w:color w:val="auto"/>
          <w:sz w:val="21"/>
          <w:szCs w:val="21"/>
        </w:rPr>
      </w:pPr>
      <w:r>
        <w:rPr>
          <w:rFonts w:hint="eastAsia" w:ascii="宋体" w:hAnsi="宋体" w:eastAsia="宋体" w:cs="宋体"/>
          <w:color w:val="auto"/>
          <w:sz w:val="21"/>
          <w:szCs w:val="21"/>
          <w:highlight w:val="none"/>
        </w:rPr>
        <w:t xml:space="preserve">签约日期： 年 月  日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签约日期：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日</w:t>
      </w:r>
    </w:p>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iOTFjMGYyYzQ5MjBhMmE1NTA3NTU5YzUwMjNmMGUifQ=="/>
  </w:docVars>
  <w:rsids>
    <w:rsidRoot w:val="2B5B4753"/>
    <w:rsid w:val="18BC23B6"/>
    <w:rsid w:val="1C222CB7"/>
    <w:rsid w:val="25C2243B"/>
    <w:rsid w:val="2B20337E"/>
    <w:rsid w:val="2B29438E"/>
    <w:rsid w:val="2B5B4753"/>
    <w:rsid w:val="2DBB2F07"/>
    <w:rsid w:val="3D830958"/>
    <w:rsid w:val="3F966C0E"/>
    <w:rsid w:val="452627E2"/>
    <w:rsid w:val="4A9446E3"/>
    <w:rsid w:val="4B005883"/>
    <w:rsid w:val="64195594"/>
    <w:rsid w:val="64B82FFF"/>
    <w:rsid w:val="6A0235DA"/>
    <w:rsid w:val="71F17B50"/>
    <w:rsid w:val="72F21DD2"/>
    <w:rsid w:val="78823444"/>
    <w:rsid w:val="7AA00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keepLines/>
      <w:autoSpaceDE w:val="0"/>
      <w:autoSpaceDN w:val="0"/>
      <w:adjustRightInd w:val="0"/>
      <w:spacing w:before="240" w:after="120" w:line="300" w:lineRule="auto"/>
      <w:jc w:val="center"/>
      <w:outlineLvl w:val="0"/>
    </w:pPr>
    <w:rPr>
      <w:rFonts w:ascii="等线 Light"/>
      <w:b/>
      <w:kern w:val="44"/>
      <w:sz w:val="32"/>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tabs>
        <w:tab w:val="left" w:pos="567"/>
      </w:tabs>
      <w:spacing w:before="120" w:line="22" w:lineRule="atLeast"/>
    </w:pPr>
    <w:rPr>
      <w:rFonts w:ascii="等线 Light" w:hAnsi="等线 Light"/>
      <w:sz w:val="24"/>
    </w:rPr>
  </w:style>
  <w:style w:type="character" w:customStyle="1" w:styleId="6">
    <w:name w:val="标题 1 Char"/>
    <w:link w:val="2"/>
    <w:qFormat/>
    <w:uiPriority w:val="0"/>
    <w:rPr>
      <w:rFonts w:ascii="等线 Light"/>
      <w:b/>
      <w:kern w:val="44"/>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5019</Words>
  <Characters>5107</Characters>
  <Lines>0</Lines>
  <Paragraphs>0</Paragraphs>
  <TotalTime>9</TotalTime>
  <ScaleCrop>false</ScaleCrop>
  <LinksUpToDate>false</LinksUpToDate>
  <CharactersWithSpaces>5397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2024-03-14T08:41:00Z</dcterms:created>
  <dc:creator>趁还年轻</dc:creator>
  <cp:lastModifiedBy>朱娟</cp:lastModifiedBy>
  <dcterms:modified xsi:type="dcterms:W3CDTF">2025-07-03T03:28:13Z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2049F550690343CBA3E1AA08D1F9787C_13</vt:lpwstr>
  </property>
  <property fmtid="{D5CDD505-2E9C-101B-9397-08002B2CF9AE}" pid="4" name="KSOTemplateDocerSaveRecord">
    <vt:lpwstr>eyJoZGlkIjoiNTRiN2YxNjhiMWY2MjU3ZTk1NTcyNzUwOWE2ZjIyNTQiLCJ1c2VySWQiOiIyMDIwODMyODIifQ==</vt:lpwstr>
  </property>
</Properties>
</file>