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版本号：JZZB2025-107320250723001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铜川市王益区黄堡镇全域士地综合整治山水工程生态补偿一体化示范项目方案编制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JZZB2025-1073</w:t>
      </w:r>
      <w:r>
        <w:br/>
      </w:r>
      <w:r>
        <w:br/>
      </w:r>
      <w:r>
        <w:br/>
      </w:r>
    </w:p>
    <w:p>
      <w:pPr>
        <w:pStyle w:val="null3"/>
        <w:jc w:val="center"/>
        <w:outlineLvl w:val="2"/>
      </w:pPr>
      <w:r>
        <w:rPr>
          <w:rFonts w:ascii="仿宋_GB2312" w:hAnsi="仿宋_GB2312" w:cs="仿宋_GB2312" w:eastAsia="仿宋_GB2312"/>
          <w:sz w:val="28"/>
          <w:b/>
        </w:rPr>
        <w:t>铜川市自然资源局王益分局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铜川市自然资源局王益分局</w:t>
      </w:r>
      <w:r>
        <w:rPr>
          <w:rFonts w:ascii="仿宋_GB2312" w:hAnsi="仿宋_GB2312" w:cs="仿宋_GB2312" w:eastAsia="仿宋_GB2312"/>
        </w:rPr>
        <w:t>委托，拟对</w:t>
      </w:r>
      <w:r>
        <w:rPr>
          <w:rFonts w:ascii="仿宋_GB2312" w:hAnsi="仿宋_GB2312" w:cs="仿宋_GB2312" w:eastAsia="仿宋_GB2312"/>
        </w:rPr>
        <w:t>铜川市王益区黄堡镇全域士地综合整治山水工程生态补偿一体化示范项目方案编制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铜川市王益区黄堡镇全域士地综合整治山水工程生态补偿一体化示范项目方案编制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本项目项目名称：铜川市王益区黄堡镇全域士地综合整治/山水工程/生态补偿一体化示范项目方案编制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采购包1（铜川市王益区黄堡镇全域士地综合整治山水工程生态补偿一体化示范项目方案编制）：属于专门面向中小企业采购。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能力的法人或其他组织或自然人（法人或其他组织提供营业执照或事业单位法人证书等国家规定的相关证明，自然人提供身份证件）：供应商应具有独立承担民事责任能力的法人或其他组织或自然人（法人或其他组织提供营业执照或事业单位法人证书等国家规定的相关证明，自然人提供身份证件）；</w:t>
      </w:r>
    </w:p>
    <w:p>
      <w:pPr>
        <w:pStyle w:val="null3"/>
      </w:pPr>
      <w:r>
        <w:rPr>
          <w:rFonts w:ascii="仿宋_GB2312" w:hAnsi="仿宋_GB2312" w:cs="仿宋_GB2312" w:eastAsia="仿宋_GB2312"/>
        </w:rPr>
        <w:t>2、授权书：法定代表人直接参加磋商的，须出具法定代表人身份证明书（含法人身份证复印件）；法定代表人授权代表参加磋商的，须出具法定代表人授权书（附法定代表人身份证复印件及被授权人身份证复印件）；</w:t>
      </w:r>
    </w:p>
    <w:p>
      <w:pPr>
        <w:pStyle w:val="null3"/>
      </w:pPr>
      <w:r>
        <w:rPr>
          <w:rFonts w:ascii="仿宋_GB2312" w:hAnsi="仿宋_GB2312" w:cs="仿宋_GB2312" w:eastAsia="仿宋_GB2312"/>
        </w:rPr>
        <w:t>3、出具参加本次采购活动前三年内在经营活动中没有重大违法记录的书面声明；：出具参加本次采购活动前三年内在经营活动中没有重大违法记录的书面声明；</w:t>
      </w:r>
    </w:p>
    <w:p>
      <w:pPr>
        <w:pStyle w:val="null3"/>
      </w:pPr>
      <w:r>
        <w:rPr>
          <w:rFonts w:ascii="仿宋_GB2312" w:hAnsi="仿宋_GB2312" w:cs="仿宋_GB2312" w:eastAsia="仿宋_GB2312"/>
        </w:rPr>
        <w:t>4、 财务状况：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pPr>
        <w:pStyle w:val="null3"/>
      </w:pPr>
      <w:r>
        <w:rPr>
          <w:rFonts w:ascii="仿宋_GB2312" w:hAnsi="仿宋_GB2312" w:cs="仿宋_GB2312" w:eastAsia="仿宋_GB2312"/>
        </w:rPr>
        <w:t>5、社会保障资金缴纳证明：提供响应文件提交截止时间前6个月内任意一个月已缴纳的社会保障资金缴存单据或社保机构开具的社会保险参保缴费情况证明，依法不需要缴纳社会保障资金的应提供相关文件证明；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6、完税凭证：提供响应文件提交截止时间前6个月内任意一个月已缴纳的完税凭证或税务机关开具的完税证明（任意税种），依法免税的应提供相关文件证明；</w:t>
      </w:r>
    </w:p>
    <w:p>
      <w:pPr>
        <w:pStyle w:val="null3"/>
      </w:pPr>
      <w:r>
        <w:rPr>
          <w:rFonts w:ascii="仿宋_GB2312" w:hAnsi="仿宋_GB2312" w:cs="仿宋_GB2312" w:eastAsia="仿宋_GB2312"/>
        </w:rPr>
        <w:t>7、信用截图：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8、提供具有履行本合同所必需的设备和专业技术能力的说明或承诺；：提供具有履行本合同所必需的设备和专业技术能力的说明或承诺；</w:t>
      </w:r>
    </w:p>
    <w:p>
      <w:pPr>
        <w:pStyle w:val="null3"/>
      </w:pPr>
      <w:r>
        <w:rPr>
          <w:rFonts w:ascii="仿宋_GB2312" w:hAnsi="仿宋_GB2312" w:cs="仿宋_GB2312" w:eastAsia="仿宋_GB2312"/>
        </w:rPr>
        <w:t>9、单位负责人为同一人或者存在直接控股、管理关系的不同供应商，不得同时参加同一采购活动；：单位负责人为同一人或者存在直接控股、管理关系的不同供应商，不得同时参加同一采购活动；</w:t>
      </w:r>
    </w:p>
    <w:p>
      <w:pPr>
        <w:pStyle w:val="null3"/>
      </w:pPr>
      <w:r>
        <w:rPr>
          <w:rFonts w:ascii="仿宋_GB2312" w:hAnsi="仿宋_GB2312" w:cs="仿宋_GB2312" w:eastAsia="仿宋_GB2312"/>
        </w:rPr>
        <w:t>10、供应商应同时具有行业主管部门颁发的城乡规划和土地规划编制乙级及以上资质（含乙级）。：供应商应同时具有行业主管部门颁发的城乡规划和土地规划编制乙级及以上资质（含乙级）。</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扈静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0919-2188192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铜川市自然资源局王益分局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联系电话：029-87976716-604</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本项目项目名称：铜川市王益区黄堡镇全域士地综合整治/山水工程/生态补偿一体化示范项目方案编制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铜川市王益区黄堡镇全域士地综合整治/山水工程/生态补偿一体化示范项目方案编制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标的名称：铜川市王益区黄堡镇全域士地综合整治/山水工程/生态补偿一体化示范项目方案编制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4"/>
              </w:rPr>
              <w:t>土地综合整治/山水工程/生态补偿一体化示范项目实施方案编制、城乡建设用地增减挂钩实施方 案编制、永久基本农田调整方案编制、成果论证与评审等。</w:t>
            </w:r>
          </w:p>
          <w:p>
            <w:pPr>
              <w:pStyle w:val="null3"/>
              <w:ind w:firstLine="200"/>
              <w:jc w:val="both"/>
            </w:pPr>
            <w:r>
              <w:rPr>
                <w:rFonts w:ascii="仿宋_GB2312" w:hAnsi="仿宋_GB2312" w:cs="仿宋_GB2312" w:eastAsia="仿宋_GB2312"/>
                <w:sz w:val="24"/>
              </w:rPr>
              <w:t>一、工作内容</w:t>
            </w:r>
          </w:p>
          <w:p>
            <w:pPr>
              <w:pStyle w:val="null3"/>
              <w:ind w:firstLine="600"/>
              <w:jc w:val="both"/>
            </w:pPr>
            <w:r>
              <w:rPr>
                <w:rFonts w:ascii="仿宋_GB2312" w:hAnsi="仿宋_GB2312" w:cs="仿宋_GB2312" w:eastAsia="仿宋_GB2312"/>
                <w:sz w:val="24"/>
              </w:rPr>
              <w:t>1.整体要求</w:t>
            </w:r>
          </w:p>
          <w:p>
            <w:pPr>
              <w:pStyle w:val="null3"/>
              <w:ind w:firstLine="600"/>
              <w:jc w:val="both"/>
            </w:pPr>
            <w:r>
              <w:rPr>
                <w:rFonts w:ascii="仿宋_GB2312" w:hAnsi="仿宋_GB2312" w:cs="仿宋_GB2312" w:eastAsia="仿宋_GB2312"/>
                <w:sz w:val="24"/>
              </w:rPr>
              <w:t>依据《自然资源部关于学习运用</w:t>
            </w:r>
            <w:r>
              <w:rPr>
                <w:rFonts w:ascii="仿宋_GB2312" w:hAnsi="仿宋_GB2312" w:cs="仿宋_GB2312" w:eastAsia="仿宋_GB2312"/>
                <w:sz w:val="24"/>
              </w:rPr>
              <w:t>“千万工程”经验深入推进全域土地综合整治工作的意见》（自然资发〔2024〕149号）文件要求，完整准确全面贯彻新发展理念，学习运用“千万工程”经验，充分发挥全域土地综合整治的平台作用，依据国土空间规划，以县域为统筹单元、以乡镇为基本实施单元，综合运用耕地占补平衡、城乡建设用地增减挂钩、农村集体经营性建设用地入市等政策工具，促进城乡要素平等交换、双向流动，优化农村地区国土空间布局，改善农村生态环境和农民生产生活条件，助推农村一二三产业融合发展和城乡融合发展，助力建设宜居宜业和美乡村。</w:t>
            </w:r>
          </w:p>
          <w:p>
            <w:pPr>
              <w:pStyle w:val="null3"/>
              <w:ind w:firstLine="600"/>
              <w:jc w:val="both"/>
            </w:pPr>
            <w:r>
              <w:rPr>
                <w:rFonts w:ascii="仿宋_GB2312" w:hAnsi="仿宋_GB2312" w:cs="仿宋_GB2312" w:eastAsia="仿宋_GB2312"/>
                <w:sz w:val="24"/>
              </w:rPr>
              <w:t>2.重点编制内容</w:t>
            </w:r>
          </w:p>
          <w:p>
            <w:pPr>
              <w:pStyle w:val="null3"/>
              <w:ind w:firstLine="600"/>
              <w:jc w:val="both"/>
            </w:pPr>
            <w:r>
              <w:rPr>
                <w:rFonts w:ascii="仿宋_GB2312" w:hAnsi="仿宋_GB2312" w:cs="仿宋_GB2312" w:eastAsia="仿宋_GB2312"/>
                <w:sz w:val="24"/>
              </w:rPr>
              <w:t>农用地集中连片整治。在严格落实耕地和永久基本农田保护目标任务的前提下适应农业现代化发展需要和耕地数量、质量、生态</w:t>
            </w:r>
            <w:r>
              <w:rPr>
                <w:rFonts w:ascii="仿宋_GB2312" w:hAnsi="仿宋_GB2312" w:cs="仿宋_GB2312" w:eastAsia="仿宋_GB2312"/>
                <w:sz w:val="24"/>
              </w:rPr>
              <w:t>“三位一体”保护要求，统筹实施农用地集中连片整治、质量提升和生态化改造，聚集耕地破碎、插花等问题，打造一批“百亩方”工程；将山上耕地逐步调整到山下、果树苗木逐步上山上坡。</w:t>
            </w:r>
          </w:p>
          <w:p>
            <w:pPr>
              <w:pStyle w:val="null3"/>
              <w:ind w:firstLine="600"/>
              <w:jc w:val="both"/>
            </w:pPr>
            <w:r>
              <w:rPr>
                <w:rFonts w:ascii="仿宋_GB2312" w:hAnsi="仿宋_GB2312" w:cs="仿宋_GB2312" w:eastAsia="仿宋_GB2312"/>
                <w:sz w:val="24"/>
              </w:rPr>
              <w:t>建设用地整理。适应宜居宜业和美乡村建设需要，对农村零散、闲置、低效建设用地进行整理盘活，废弃采矿用地进行复垦，综合运用农村集体经营性建设用地入市等政策工具，提升土地资源配置效率和节约集约利用水平，为保障农民合理居住需求、乡村基础设施建设和产业发展提供用地支撑。</w:t>
            </w:r>
          </w:p>
          <w:p>
            <w:pPr>
              <w:pStyle w:val="null3"/>
              <w:ind w:firstLine="600"/>
              <w:jc w:val="both"/>
            </w:pPr>
            <w:r>
              <w:rPr>
                <w:rFonts w:ascii="仿宋_GB2312" w:hAnsi="仿宋_GB2312" w:cs="仿宋_GB2312" w:eastAsia="仿宋_GB2312"/>
                <w:sz w:val="24"/>
              </w:rPr>
              <w:t>保护修复自然生态本底。适应美丽乡村建设需要，实施农村地区山水林田湖草沙一体化保护和修复，协同推进农村人居环境整治，改善农村生态环境。</w:t>
            </w:r>
          </w:p>
          <w:p>
            <w:pPr>
              <w:pStyle w:val="null3"/>
              <w:ind w:firstLine="600"/>
              <w:jc w:val="both"/>
            </w:pPr>
            <w:r>
              <w:rPr>
                <w:rFonts w:ascii="仿宋_GB2312" w:hAnsi="仿宋_GB2312" w:cs="仿宋_GB2312" w:eastAsia="仿宋_GB2312"/>
                <w:sz w:val="24"/>
              </w:rPr>
              <w:t>特色整治。充分发挥全域土地综合整治平台作用，丰富整治目标任务。结合村庄优势资源禀赋，将乡村产业建设导入等内容纳入整治范围。将耀州窑文化遗址等历史文化保护纳入保护修复范围。盘活利用闲置土地空间，将低效建设用地纳入整治，结合全域土地综合整治开展低效用地再开发。</w:t>
            </w:r>
          </w:p>
          <w:p>
            <w:pPr>
              <w:pStyle w:val="null3"/>
            </w:pPr>
            <w:r>
              <w:rPr>
                <w:rFonts w:ascii="仿宋_GB2312" w:hAnsi="仿宋_GB2312" w:cs="仿宋_GB2312" w:eastAsia="仿宋_GB2312"/>
                <w:sz w:val="24"/>
              </w:rPr>
              <w:t>二、成果内容</w:t>
            </w:r>
          </w:p>
          <w:p>
            <w:pPr>
              <w:pStyle w:val="null3"/>
              <w:ind w:firstLine="600"/>
              <w:jc w:val="both"/>
            </w:pPr>
            <w:r>
              <w:rPr>
                <w:rFonts w:ascii="仿宋_GB2312" w:hAnsi="仿宋_GB2312" w:cs="仿宋_GB2312" w:eastAsia="仿宋_GB2312"/>
                <w:sz w:val="24"/>
              </w:rPr>
              <w:t>同时</w:t>
            </w:r>
            <w:r>
              <w:rPr>
                <w:rFonts w:ascii="仿宋_GB2312" w:hAnsi="仿宋_GB2312" w:cs="仿宋_GB2312" w:eastAsia="仿宋_GB2312"/>
                <w:sz w:val="24"/>
              </w:rPr>
              <w:t>包含全域土地综合整治实施方案、城乡建设用地增加挂钩实施方案和永久基本农田调整补划方案，每个方案包含文本、图件、数据库及附表。</w:t>
            </w:r>
          </w:p>
          <w:p>
            <w:pPr>
              <w:pStyle w:val="null3"/>
              <w:ind w:firstLine="600"/>
              <w:jc w:val="both"/>
            </w:pPr>
            <w:r>
              <w:rPr>
                <w:rFonts w:ascii="仿宋_GB2312" w:hAnsi="仿宋_GB2312" w:cs="仿宋_GB2312" w:eastAsia="仿宋_GB2312"/>
                <w:sz w:val="24"/>
              </w:rPr>
              <w:t>1.文本。全域土地整治实施方案包含项目背景、工作基础、可行性分析及评估、建设目标、建设内容及实施安排、投资估算及资金筹措、效益分析、组织实施等方面内容。城乡建设用地增减挂钩实施方案包括项目区基本情况、实施可行性分析、项目规划方案、项目区实施方案、资金平衡预算、效益评价。永久基本农田调整补划方案包括项目区概况、占用永久基本农田的必要性、占用永久基本农田的合理性、永久基本农田占用情况、永久基本农田补划情况、补划占用对比，结论、相关附件。</w:t>
            </w:r>
          </w:p>
          <w:p>
            <w:pPr>
              <w:pStyle w:val="null3"/>
              <w:ind w:firstLine="480"/>
              <w:jc w:val="both"/>
            </w:pPr>
            <w:r>
              <w:rPr>
                <w:rFonts w:ascii="仿宋_GB2312" w:hAnsi="仿宋_GB2312" w:cs="仿宋_GB2312" w:eastAsia="仿宋_GB2312"/>
                <w:sz w:val="24"/>
              </w:rPr>
              <w:t>2.图件。包含但不限于国土空间土地利用现状图、国土空间土地利用规划图、全域土地整治潜力分布图、功能分区调整优化图、全域土地综合整治项目分布图、全域土地综合整治耕地布局调整优化图等。</w:t>
            </w:r>
          </w:p>
          <w:p>
            <w:pPr>
              <w:pStyle w:val="null3"/>
              <w:ind w:firstLine="600"/>
              <w:jc w:val="both"/>
            </w:pPr>
            <w:r>
              <w:rPr>
                <w:rFonts w:ascii="仿宋_GB2312" w:hAnsi="仿宋_GB2312" w:cs="仿宋_GB2312" w:eastAsia="仿宋_GB2312"/>
                <w:sz w:val="24"/>
              </w:rPr>
              <w:t>3.数据库。</w:t>
            </w:r>
          </w:p>
          <w:p>
            <w:pPr>
              <w:pStyle w:val="null3"/>
              <w:ind w:firstLine="600"/>
              <w:jc w:val="both"/>
            </w:pPr>
            <w:r>
              <w:rPr>
                <w:rFonts w:ascii="仿宋_GB2312" w:hAnsi="仿宋_GB2312" w:cs="仿宋_GB2312" w:eastAsia="仿宋_GB2312"/>
                <w:sz w:val="24"/>
              </w:rPr>
              <w:t>4.附表。包含但不限于全域土地综合整治项目基本情况表、项目区域内实施前各类项目情况表、项目区域新增耕地情况表、项目区域建设用地整理情况表、全域土地综合整治项目安排表等。</w:t>
            </w:r>
          </w:p>
          <w:p>
            <w:pPr>
              <w:pStyle w:val="null3"/>
              <w:ind w:firstLine="2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完成方案编制并通过行业内专家评审，出具评审意见后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方案通过行业主管部门批复，取得批复文件后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供应商应具有独立承担民事责任能力的法人或其他组织或自然人（法人或其他组织提供营业执照或事业单位法人证书等国家规定的相关证明，自然人提供身份证件）</w:t>
            </w:r>
          </w:p>
        </w:tc>
        <w:tc>
          <w:tcPr>
            <w:tcW w:type="dxa" w:w="3322"/>
          </w:tcPr>
          <w:p>
            <w:pPr>
              <w:pStyle w:val="null3"/>
            </w:pPr>
            <w:r>
              <w:rPr>
                <w:rFonts w:ascii="仿宋_GB2312" w:hAnsi="仿宋_GB2312" w:cs="仿宋_GB2312" w:eastAsia="仿宋_GB2312"/>
              </w:rPr>
              <w:t>供应商应具有独立承担民事责任能力的法人或其他组织或自然人（法人或其他组织提供营业执照或事业单位法人证书等国家规定的相关证明，自然人提供身份证件）；</w:t>
            </w:r>
          </w:p>
        </w:tc>
        <w:tc>
          <w:tcPr>
            <w:tcW w:type="dxa" w:w="1661"/>
          </w:tcPr>
          <w:p>
            <w:pPr>
              <w:pStyle w:val="null3"/>
            </w:pPr>
            <w:r>
              <w:rPr>
                <w:rFonts w:ascii="仿宋_GB2312" w:hAnsi="仿宋_GB2312" w:cs="仿宋_GB2312" w:eastAsia="仿宋_GB2312"/>
              </w:rPr>
              <w:t>服务内容及服务邀请应答表 中小企业声明函 业绩 商务应答表 报价表 资格证明文件.docx 其他证明资料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法定代表人直接参加磋商的，须出具法定代表人身份证明书（含法人身份证复印件）；法定代表人授权代表参加磋商的，须出具法定代表人授权书（附法定代表人身份证复印件及被授权人身份证复印件）；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332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财务状况</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提供响应文件提交截止时间前6个月内任意一个月已缴纳的社会保障资金缴存单据或社保机构开具的社会保险参保缴费情况证明，依法不需要缴纳社会保障资金的应提供相关文件证明；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完税凭证</w:t>
            </w:r>
          </w:p>
        </w:tc>
        <w:tc>
          <w:tcPr>
            <w:tcW w:type="dxa" w:w="3322"/>
          </w:tcPr>
          <w:p>
            <w:pPr>
              <w:pStyle w:val="null3"/>
            </w:pPr>
            <w:r>
              <w:rPr>
                <w:rFonts w:ascii="仿宋_GB2312" w:hAnsi="仿宋_GB2312" w:cs="仿宋_GB2312" w:eastAsia="仿宋_GB2312"/>
              </w:rPr>
              <w:t>提供响应文件提交截止时间前6个月内任意一个月已缴纳的完税凭证或税务机关开具的完税证明（任意税种），依法免税的应提供相关文件证明；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供应商应同时具有行业主管部门颁发的城乡规划和土地规划编制乙级及以上资质（含乙级）。</w:t>
            </w:r>
          </w:p>
        </w:tc>
        <w:tc>
          <w:tcPr>
            <w:tcW w:type="dxa" w:w="3322"/>
          </w:tcPr>
          <w:p>
            <w:pPr>
              <w:pStyle w:val="null3"/>
            </w:pPr>
            <w:r>
              <w:rPr>
                <w:rFonts w:ascii="仿宋_GB2312" w:hAnsi="仿宋_GB2312" w:cs="仿宋_GB2312" w:eastAsia="仿宋_GB2312"/>
              </w:rPr>
              <w:t>供应商应同时具有行业主管部门颁发的城乡规划和土地规划编制乙级及以上资质（含乙级）。</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结合项目实际情况，制定切实可行的服务方案、服务步骤、方法及工作安排等； （1）服务方案全面具体、科学合理、针对性强、步骤清晰，可操作性及可行性高，能完全满足采购所需的得15分； （2）服务方案较为全面具体、科学合理、针对性较好、步骤清晰，可操作及可行性较高、能满足采购所需的得11分； （3）服务方案基本全面、有科学合理性、针对性一般、步骤较清晰、不缺少关键点、可操作及可行性一般、基本能满足采购所需的得7分。 （4）服务方案简单、无针对性，步骤不清晰，缺少关键点、可操作及可行性较差，不能满足采购所需的得4分；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对项目的理解: 基于对项目现状和背景的理解，对项目进行分析及研究的正确性和合理性。 （1）内容科学详细、明确具体得10 分； （2）内容科学明确但存在瑕疵的得7分； （3）内容缺失或者描述不详细的得3 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根据对工作重点与难点分析及对策的响应程度； （1）难点、重点描述说明与实际情况符合、描述详尽、有对应的解决措施对策，解决对策针对性强、科学合理可行的得10分； （2）难点、重点描述说明与实际情况较为符合、描述较为详尽、有对应的解决措施对策，解决对策针对性较好、较为科学合理可行的得7分； （3）难点、重点描述与实际情况基本符合、描述基本详细、但只有部分问题有解决对策，解决对策针对性一般、基本科学合理可行的得4分； （4）难点、重点描述描述与实际情况符合程度一般、发现的问题简单且缺少解决对策，解决对策针对性差、欠缺科学合理性、可行性差的得2分；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进度方案</w:t>
            </w:r>
          </w:p>
        </w:tc>
        <w:tc>
          <w:tcPr>
            <w:tcW w:type="dxa" w:w="2492"/>
          </w:tcPr>
          <w:p>
            <w:pPr>
              <w:pStyle w:val="null3"/>
            </w:pPr>
            <w:r>
              <w:rPr>
                <w:rFonts w:ascii="仿宋_GB2312" w:hAnsi="仿宋_GB2312" w:cs="仿宋_GB2312" w:eastAsia="仿宋_GB2312"/>
              </w:rPr>
              <w:t>根据工作进度的（不限于进度组织、进度计划、进度实施等）措施方案； （1）工作进度全面具体、科学合理、可行性高，能有效保障项目按时完成的得10分； （2） 工作进度较为全面具体、科学合理较好、可行性较好，能保障项目按时完成的得7分； （3） 工作进度基本全面、科学合理一般、可行性一般，但基本能保障项目按时完成的得4分； （4）工作进度不全面、欠缺科学合理性、可行性差，不能保障项目按时完成的得2分；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项目负责人具有行政管理部门颁发的土地规划或城乡规划（国土空间规划）相关专业的高级（或以上）技术职称和国家注册城市规划师执业资格，得3分。 备注：项目负责人需提供身份证复印件、职称证书和注册证书复印件，未提供得0分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根据拟投入服务人员（不限于人员安排、岗位职责、管理制度、工作经验等）的措施方案，每具有一个相关专业的高级职称得1分，每具有一个相关专业的中级职称得0.5分，本项最高得分10分。 需提供人员近三个月社保缴纳凭证，不提供不得分。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针对本项目有质量保障措施； （1）服务质量保障措施全面具体、科学合理、可行性强、整体服务质量高的得10分；（2）服务质量保障措施较为全面具体、较为科学合理、方案可行、整体服务质量较高的得7分； （3)服务质量保障措施基本全面、基本合理、有一定的可行性、整体服务质量一般的得4分； (4)服务质量保障措施不全面、缺少合理性、可行性不高、整体服务质量低的得2分；未提不得分。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针对本项目有严格的廉洁、保密措施。 （1）廉洁、保密措施完善，针对性强、成熟具体的得5分；（2） 廉洁、保密措施较为完善、针对性较好、较为成熟具体的3分； （3）廉洁、保密措施方案简单、可行性低、不够具体的得2分；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（1）合理化建议内容完善可行、全面具体、针对性强、可操作性强完全有利于采购项目的得7分 ； （2）合理化建议内容较为具体、基本可行、针对性较好、有良好的可操作性且有利于采购项目的得5分； （3）合理化建议内容中有较多缺失或内容笼统、欠缺针对性的得3分。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具有2021年1月1日起至今（以合同签订时间为准）同类项目（土地综合整治或生态修复规划方案等）业绩，业绩以合同扫描件（复印件）为依据；每提供1个业绩得2分，最多得10分。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