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版本号：SXZY-25001420250728001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（工程类）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集中供暖改造项目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SXZY-250014</w:t>
      </w:r>
      <w:r>
        <w:br/>
      </w:r>
      <w:r>
        <w:br/>
      </w:r>
      <w:r>
        <w:br/>
      </w:r>
      <w:r>
        <w:br/>
      </w:r>
      <w:r>
        <w:br/>
      </w:r>
    </w:p>
    <w:p>
      <w:pPr>
        <w:pStyle w:val="null3"/>
        <w:jc w:val="center"/>
        <w:outlineLvl w:val="5"/>
      </w:pPr>
      <w:r>
        <w:rPr>
          <w:rFonts w:ascii="仿宋_GB2312" w:hAnsi="仿宋_GB2312" w:cs="仿宋_GB2312" w:eastAsia="仿宋_GB2312"/>
          <w:sz w:val="15"/>
          <w:b/>
        </w:rPr>
        <w:t>北京中医药大学孙思邈医院</w:t>
      </w:r>
    </w:p>
    <w:p>
      <w:pPr>
        <w:pStyle w:val="null3"/>
        <w:jc w:val="center"/>
        <w:outlineLvl w:val="5"/>
      </w:pPr>
      <w:r>
        <w:rPr>
          <w:rFonts w:ascii="仿宋_GB2312" w:hAnsi="仿宋_GB2312" w:cs="仿宋_GB2312" w:eastAsia="仿宋_GB2312"/>
          <w:sz w:val="15"/>
          <w:b/>
        </w:rPr>
        <w:t>陕西卓越工程项目管理有限公司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陕西卓越工程项目管理有限公司</w:t>
      </w:r>
      <w:r>
        <w:rPr>
          <w:rFonts w:ascii="仿宋_GB2312" w:hAnsi="仿宋_GB2312" w:cs="仿宋_GB2312" w:eastAsia="仿宋_GB2312"/>
        </w:rPr>
        <w:t>（以下简称“代理机构”）受</w:t>
      </w:r>
      <w:r>
        <w:rPr>
          <w:rFonts w:ascii="仿宋_GB2312" w:hAnsi="仿宋_GB2312" w:cs="仿宋_GB2312" w:eastAsia="仿宋_GB2312"/>
        </w:rPr>
        <w:t>北京中医药大学孙思邈医院</w:t>
      </w:r>
      <w:r>
        <w:rPr>
          <w:rFonts w:ascii="仿宋_GB2312" w:hAnsi="仿宋_GB2312" w:cs="仿宋_GB2312" w:eastAsia="仿宋_GB2312"/>
        </w:rPr>
        <w:t>委托，拟对</w:t>
      </w:r>
      <w:r>
        <w:rPr>
          <w:rFonts w:ascii="仿宋_GB2312" w:hAnsi="仿宋_GB2312" w:cs="仿宋_GB2312" w:eastAsia="仿宋_GB2312"/>
        </w:rPr>
        <w:t>集中供暖改造项目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SXZY-250014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集中供暖改造项目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满足医院供暖需求，对医院集中供暖系统进行升级改造。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1、供应商独立经营主体证明：供应商应为具有独立承担民事责任能力的法人或其他组织，提供法人或者其他组织的营业执照等证明文件，自然人参与项目的，需提供自然人的身份证明。</w:t>
      </w:r>
    </w:p>
    <w:p>
      <w:pPr>
        <w:pStyle w:val="null3"/>
      </w:pPr>
      <w:r>
        <w:rPr>
          <w:rFonts w:ascii="仿宋_GB2312" w:hAnsi="仿宋_GB2312" w:cs="仿宋_GB2312" w:eastAsia="仿宋_GB2312"/>
        </w:rPr>
        <w:t>2、社会保障资金缴纳证明：提供2024年7月至今任意一个月已缴存的社会保障资金缴存单据或社保机构开具的社会保险参保缴费证明，依法不需要缴纳社会保障资金的单位应提供相关证明材料。</w:t>
      </w:r>
    </w:p>
    <w:p>
      <w:pPr>
        <w:pStyle w:val="null3"/>
      </w:pPr>
      <w:r>
        <w:rPr>
          <w:rFonts w:ascii="仿宋_GB2312" w:hAnsi="仿宋_GB2312" w:cs="仿宋_GB2312" w:eastAsia="仿宋_GB2312"/>
        </w:rPr>
        <w:t>3、税收缴纳证明：提供2024年7月至今任意一个月的纳税证明或税务机关开具的完税证明，依法免税的单位应提供相关证明材料。</w:t>
      </w:r>
    </w:p>
    <w:p>
      <w:pPr>
        <w:pStyle w:val="null3"/>
      </w:pPr>
      <w:r>
        <w:rPr>
          <w:rFonts w:ascii="仿宋_GB2312" w:hAnsi="仿宋_GB2312" w:cs="仿宋_GB2312" w:eastAsia="仿宋_GB2312"/>
        </w:rPr>
        <w:t>4、履约能力书面声明：具有履行合同所必需的设备和专业技术能力。</w:t>
      </w:r>
    </w:p>
    <w:p>
      <w:pPr>
        <w:pStyle w:val="null3"/>
      </w:pPr>
      <w:r>
        <w:rPr>
          <w:rFonts w:ascii="仿宋_GB2312" w:hAnsi="仿宋_GB2312" w:cs="仿宋_GB2312" w:eastAsia="仿宋_GB2312"/>
        </w:rPr>
        <w:t>5、无重大违法记录书面声明：参加采购活动前三年内在经营活动中无重大违法记录。</w:t>
      </w:r>
    </w:p>
    <w:p>
      <w:pPr>
        <w:pStyle w:val="null3"/>
      </w:pPr>
      <w:r>
        <w:rPr>
          <w:rFonts w:ascii="仿宋_GB2312" w:hAnsi="仿宋_GB2312" w:cs="仿宋_GB2312" w:eastAsia="仿宋_GB2312"/>
        </w:rPr>
        <w:t>6、有效身份证件：企业法人授权委托书和被授权人有效身份证件（法定代表人直接参加时，只须提供法定代表人身份证明）。</w:t>
      </w:r>
    </w:p>
    <w:p>
      <w:pPr>
        <w:pStyle w:val="null3"/>
      </w:pPr>
      <w:r>
        <w:rPr>
          <w:rFonts w:ascii="仿宋_GB2312" w:hAnsi="仿宋_GB2312" w:cs="仿宋_GB2312" w:eastAsia="仿宋_GB2312"/>
        </w:rPr>
        <w:t>7、信用查询：供应商不得为“信用中国”网站（www.creditchina.gov.cn）被列入“失信被执行人”“重大税收违法案件当事人名单”的供应商，不得为“中国政府采购网”(www.ccgp.gov.cn)被列入“政府采购严重违法失信行为记录名单”的供应商。</w:t>
      </w:r>
    </w:p>
    <w:p>
      <w:pPr>
        <w:pStyle w:val="null3"/>
      </w:pPr>
      <w:r>
        <w:rPr>
          <w:rFonts w:ascii="仿宋_GB2312" w:hAnsi="仿宋_GB2312" w:cs="仿宋_GB2312" w:eastAsia="仿宋_GB2312"/>
        </w:rPr>
        <w:t>8、不接受联合体协商：提供非联合体协商声明。</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北京中医药大学孙思邈医院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陕西省铜川市新区长虹北路26号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15229193631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陕西卓越工程项目管理有限公司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陕西省西安市雁塔区西安市高新区丈八街办高新路88号尚品国际A幢21704室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18909232629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采购包1：6,780,000.00元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采购包1：6,780,000.00元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北京中医药大学孙思邈医院</w:t>
      </w:r>
      <w:r>
        <w:rPr>
          <w:rFonts w:ascii="仿宋_GB2312" w:hAnsi="仿宋_GB2312" w:cs="仿宋_GB2312" w:eastAsia="仿宋_GB2312"/>
        </w:rPr>
        <w:t>和</w:t>
      </w:r>
      <w:r>
        <w:rPr>
          <w:rFonts w:ascii="仿宋_GB2312" w:hAnsi="仿宋_GB2312" w:cs="仿宋_GB2312" w:eastAsia="仿宋_GB2312"/>
        </w:rPr>
        <w:t>陕西卓越工程项目管理有限公司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陕西卓越工程项目管理有限公司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北京中医药大学孙思邈医院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陕西卓越工程项目管理有限公司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五、“电子协商”是指通过项目电子化交易系统在线完成资格性审查小组、协商小组组建，开展资格和符合性审查、比较与评价、出具评审报告、推荐成交候选供应商等活动。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任何政府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ind w:firstLine="480"/>
      </w:pPr>
      <w:r>
        <w:rPr>
          <w:rFonts w:ascii="仿宋_GB2312" w:hAnsi="仿宋_GB2312" w:cs="仿宋_GB2312" w:eastAsia="仿宋_GB2312"/>
        </w:rPr>
        <w:t xml:space="preserve"> 一、本项目采购人或其委托的代理机构将按照合同约定，依据政府采购相关法律法规、《财政部关于进一步加强政府采购需求和履约验收管理的指导意见》（财库〔2016〕205号）、《政府采购需求管理办法》（财库〔2021〕22号）的要求及国家行业主管部门规定的标准、方法和内容组织验收：</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ind w:firstLine="480"/>
        <w:jc w:val="left"/>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w:t>
      </w:r>
    </w:p>
    <w:p>
      <w:pPr>
        <w:pStyle w:val="null3"/>
        <w:ind w:firstLine="480"/>
        <w:jc w:val="left"/>
      </w:pPr>
      <w:r>
        <w:rPr>
          <w:rFonts w:ascii="仿宋_GB2312" w:hAnsi="仿宋_GB2312" w:cs="仿宋_GB2312" w:eastAsia="仿宋_GB2312"/>
        </w:rPr>
        <w:t xml:space="preserve"> 工程竣工经验收合格后，方可交付使用；未经验收或者验收不合格的，不得交付使用。</w:t>
      </w:r>
    </w:p>
    <w:p>
      <w:pPr>
        <w:pStyle w:val="null3"/>
        <w:ind w:firstLine="480"/>
        <w:jc w:val="left"/>
      </w:pPr>
      <w:r>
        <w:rPr>
          <w:rFonts w:ascii="仿宋_GB2312" w:hAnsi="仿宋_GB2312" w:cs="仿宋_GB2312" w:eastAsia="仿宋_GB2312"/>
        </w:rPr>
        <w:t xml:space="preserve"> 三、验收结果合格的，采购人应向成交供应商出具履约验收报告，成交供应商凭验收报告办理相关手续</w:t>
      </w:r>
    </w:p>
    <w:p>
      <w:pPr>
        <w:pStyle w:val="null3"/>
        <w:ind w:firstLine="480"/>
        <w:jc w:val="left"/>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陕西卓越工程项目管理有限公司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陕西卓越工程项目管理有限公司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陕西卓越工程项目管理有限公司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标的名称：集中供暖改造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工程范围：主干管网分支阀门井至二级换热站支线工程；分支阀门井外一次热力管网至换热站施工(含换热站内所有设备);二级换热站(全部)设备安装工程(包括二级换热站的设计、设备采购、设备安装基础、安装调试、工程监理);二级换热站远程通讯。</w:t>
            </w:r>
            <w:r>
              <w:br/>
            </w:r>
            <w:r>
              <w:rPr>
                <w:rFonts w:ascii="仿宋_GB2312" w:hAnsi="仿宋_GB2312" w:cs="仿宋_GB2312" w:eastAsia="仿宋_GB2312"/>
                <w:sz w:val="21"/>
              </w:rPr>
              <w:t xml:space="preserve"> 工程内容：建设主干管网分支阀门井至二级换热站之间管道敷设、二级换热站全部设备采购及安装、电气系统、自动控制系统、系统调试等。</w:t>
            </w:r>
          </w:p>
          <w:p>
            <w:pPr>
              <w:pStyle w:val="null3"/>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具体建设内容以所附工程量清单为准。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须达到国家及行业现行技术规范标准，符合国家及行业验收合格标准,满足采购方的需求。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本项目最高限价以所附工程量清单的招标最高限价（6779982.51元）为准，供应商的总报价不得超过此总价，各分项报价亦不得超过各分项的最高限价。</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1.对于不允许偏离的实质性要求和条件，采购人或者代理机构应当在采购文件中规定，并以醒目的方式标明。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2.除相关法律或行政法规或规章要求供应商在响应或协商阶段提供检测报告的，不得要求供应商在响应、协商阶段提供检测报告，如确实需要检测报告，可要求供应商承诺在签订合同阶段或项目实施阶段提供。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jc w:val="left"/>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提供经审计的2023年度或2024年度的财务报告或提交响应文件截止时间前六个月内其基本账户开户银行出具的资信证明（须提供基本账户信息）；其他组织和自然人提供银行出具的资信证明或财务报表。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供应商独立经营主体证明</w:t>
            </w:r>
          </w:p>
        </w:tc>
        <w:tc>
          <w:tcPr>
            <w:tcW w:type="dxa" w:w="3322"/>
          </w:tcPr>
          <w:p>
            <w:pPr>
              <w:pStyle w:val="null3"/>
            </w:pPr>
            <w:r>
              <w:rPr>
                <w:rFonts w:ascii="仿宋_GB2312" w:hAnsi="仿宋_GB2312" w:cs="仿宋_GB2312" w:eastAsia="仿宋_GB2312"/>
              </w:rPr>
              <w:t>供应商应为具有独立承担民事责任能力的法人或其他组织，提供法人或者其他组织的营业执照等证明文件，自然人参与项目的，需提供自然人的身份证明。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提供2024年7月至今任意一个月已缴存的社会保障资金缴存单据或社保机构开具的社会保险参保缴费证明，依法不需要缴纳社会保障资金的单位应提供相关证明材料。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提供2024年7月至今任意一个月的纳税证明或税务机关开具的完税证明，依法免税的单位应提供相关证明材料。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履约能力书面声明</w:t>
            </w:r>
          </w:p>
        </w:tc>
        <w:tc>
          <w:tcPr>
            <w:tcW w:type="dxa" w:w="3322"/>
          </w:tcPr>
          <w:p>
            <w:pPr>
              <w:pStyle w:val="null3"/>
            </w:pPr>
            <w:r>
              <w:rPr>
                <w:rFonts w:ascii="仿宋_GB2312" w:hAnsi="仿宋_GB2312" w:cs="仿宋_GB2312" w:eastAsia="仿宋_GB2312"/>
              </w:rPr>
              <w:t>具有履行合同所必需的设备和专业技术能力。</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参加采购活动前三年内在经营活动中无重大违法记录。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有效身份证件</w:t>
            </w:r>
          </w:p>
        </w:tc>
        <w:tc>
          <w:tcPr>
            <w:tcW w:type="dxa" w:w="3322"/>
          </w:tcPr>
          <w:p>
            <w:pPr>
              <w:pStyle w:val="null3"/>
            </w:pPr>
            <w:r>
              <w:rPr>
                <w:rFonts w:ascii="仿宋_GB2312" w:hAnsi="仿宋_GB2312" w:cs="仿宋_GB2312" w:eastAsia="仿宋_GB2312"/>
              </w:rPr>
              <w:t>企业法人授权委托书和被授权人有效身份证件（法定代表人直接参加时，只须提供法定代表人身份证明）。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被列入“失信被执行人”“重大税收违法案件当事人名单”的供应商，不得为“中国政府采购网”(www.ccgp.gov.cn)被列入“政府采购严重违法失信行为记录名单”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不接受联合体协商</w:t>
            </w:r>
          </w:p>
        </w:tc>
        <w:tc>
          <w:tcPr>
            <w:tcW w:type="dxa" w:w="3322"/>
          </w:tcPr>
          <w:p>
            <w:pPr>
              <w:pStyle w:val="null3"/>
            </w:pPr>
            <w:r>
              <w:rPr>
                <w:rFonts w:ascii="仿宋_GB2312" w:hAnsi="仿宋_GB2312" w:cs="仿宋_GB2312" w:eastAsia="仿宋_GB2312"/>
              </w:rPr>
              <w:t>提供非联合体协商声明。</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一、根据《中华人民共和国政府采购法》《中华人民共和国政府采购法实施条例》《政府采购非招标采购方式管理办法》《陕西省政府采购评审工作规程（修订）》等法律规章，结合采购项目特点制定本办法。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协商小组认为供应商的报价明显低于其他实质性响应的供应商报价，有可能影响工程质量或者不能诚信履约的，应当要求其在合理的时间内提供书面说明，必要时提交相关证明材料；供应商不能证明其报价合理性的，谈判小组应当将其作为无效响应处理。 2.供应商通过项目电子化交易系统在协商小组要求的合理时间内提交说明，否则无效。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协商有效期符合采购文件要求</w:t>
            </w:r>
          </w:p>
        </w:tc>
        <w:tc>
          <w:tcPr>
            <w:tcW w:type="dxa" w:w="3322"/>
          </w:tcPr>
          <w:p>
            <w:pPr>
              <w:pStyle w:val="null3"/>
            </w:pPr>
            <w:r>
              <w:rPr>
                <w:rFonts w:ascii="仿宋_GB2312" w:hAnsi="仿宋_GB2312" w:cs="仿宋_GB2312" w:eastAsia="仿宋_GB2312"/>
              </w:rPr>
              <w:t>协商有效期不少于90天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符合协商文件对响应文件内容及格式的要求</w:t>
            </w:r>
          </w:p>
        </w:tc>
        <w:tc>
          <w:tcPr>
            <w:tcW w:type="dxa" w:w="3322"/>
          </w:tcPr>
          <w:p>
            <w:pPr>
              <w:pStyle w:val="null3"/>
            </w:pPr>
            <w:r>
              <w:rPr>
                <w:rFonts w:ascii="仿宋_GB2312" w:hAnsi="仿宋_GB2312" w:cs="仿宋_GB2312" w:eastAsia="仿宋_GB2312"/>
              </w:rPr>
              <w:t>符合采购文件要求，无缺项漏项无偏离。</w:t>
            </w:r>
          </w:p>
        </w:tc>
        <w:tc>
          <w:tcPr>
            <w:tcW w:type="dxa" w:w="1661"/>
          </w:tcPr>
          <w:p>
            <w:pPr>
              <w:pStyle w:val="null3"/>
            </w:pPr>
            <w:r>
              <w:rPr>
                <w:rFonts w:ascii="仿宋_GB2312" w:hAnsi="仿宋_GB2312" w:cs="仿宋_GB2312" w:eastAsia="仿宋_GB2312"/>
              </w:rPr>
              <w:t>响应文件封面 已标价的工程量清单（供应商响应报价）.docx 商务及技术响应说明.docx 供应商类似项目业绩一览表.docx 报价函 供应商认为有必要说明的其他问题.docx 标的清单 承诺书.docx 实施方案.docx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供应商报价合法有效</w:t>
            </w:r>
          </w:p>
        </w:tc>
        <w:tc>
          <w:tcPr>
            <w:tcW w:type="dxa" w:w="3322"/>
          </w:tcPr>
          <w:p>
            <w:pPr>
              <w:pStyle w:val="null3"/>
            </w:pPr>
            <w:r>
              <w:rPr>
                <w:rFonts w:ascii="仿宋_GB2312" w:hAnsi="仿宋_GB2312" w:cs="仿宋_GB2312" w:eastAsia="仿宋_GB2312"/>
              </w:rPr>
              <w:t>只能有一个有效报价，不得提交选择性报价，且报价不得超过采购预算金额或最高限价。</w:t>
            </w:r>
          </w:p>
        </w:tc>
        <w:tc>
          <w:tcPr>
            <w:tcW w:type="dxa" w:w="1661"/>
          </w:tcPr>
          <w:p>
            <w:pPr>
              <w:pStyle w:val="null3"/>
            </w:pPr>
            <w:r>
              <w:rPr>
                <w:rFonts w:ascii="仿宋_GB2312" w:hAnsi="仿宋_GB2312" w:cs="仿宋_GB2312" w:eastAsia="仿宋_GB2312"/>
              </w:rPr>
              <w:t>已标价的工程量清单（供应商响应报价）.docx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对工期、服务地点、付款进度、方式等商务要求的响应情况</w:t>
            </w:r>
          </w:p>
        </w:tc>
        <w:tc>
          <w:tcPr>
            <w:tcW w:type="dxa" w:w="3322"/>
          </w:tcPr>
          <w:p>
            <w:pPr>
              <w:pStyle w:val="null3"/>
            </w:pPr>
            <w:r>
              <w:rPr>
                <w:rFonts w:ascii="仿宋_GB2312" w:hAnsi="仿宋_GB2312" w:cs="仿宋_GB2312" w:eastAsia="仿宋_GB2312"/>
              </w:rPr>
              <w:t>满足采购文件要求，且不含采购人无法接受的条件。</w:t>
            </w:r>
          </w:p>
        </w:tc>
        <w:tc>
          <w:tcPr>
            <w:tcW w:type="dxa" w:w="1661"/>
          </w:tcPr>
          <w:p>
            <w:pPr>
              <w:pStyle w:val="null3"/>
            </w:pPr>
            <w:r>
              <w:rPr>
                <w:rFonts w:ascii="仿宋_GB2312" w:hAnsi="仿宋_GB2312" w:cs="仿宋_GB2312" w:eastAsia="仿宋_GB2312"/>
              </w:rPr>
              <w:t>商务及技术响应说明.docx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对采购项目技术、服务及其他要求的响应情况</w:t>
            </w:r>
          </w:p>
        </w:tc>
        <w:tc>
          <w:tcPr>
            <w:tcW w:type="dxa" w:w="3322"/>
          </w:tcPr>
          <w:p>
            <w:pPr>
              <w:pStyle w:val="null3"/>
            </w:pPr>
            <w:r>
              <w:rPr>
                <w:rFonts w:ascii="仿宋_GB2312" w:hAnsi="仿宋_GB2312" w:cs="仿宋_GB2312" w:eastAsia="仿宋_GB2312"/>
              </w:rPr>
              <w:t>满足采购文件的要求，且不含采购人无法接受的条件。</w:t>
            </w:r>
          </w:p>
        </w:tc>
        <w:tc>
          <w:tcPr>
            <w:tcW w:type="dxa" w:w="1661"/>
          </w:tcPr>
          <w:p>
            <w:pPr>
              <w:pStyle w:val="null3"/>
            </w:pPr>
            <w:r>
              <w:rPr>
                <w:rFonts w:ascii="仿宋_GB2312" w:hAnsi="仿宋_GB2312" w:cs="仿宋_GB2312" w:eastAsia="仿宋_GB2312"/>
              </w:rPr>
              <w:t>商务及技术响应说明.docx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对采购文件其他实质性要求的响应情况</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详见附件：商务及技术响应说明.docx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详见附件：已标价的工程量清单（供应商响应报价）.docx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