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版本号：ZCSP-铜川市-2025-0048120250815003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2025年度省控空气自动站运维服务及备机耗材采购项目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ZCSP-铜川市-2025-00481</w:t>
      </w:r>
      <w:r>
        <w:br/>
      </w:r>
      <w:r>
        <w:br/>
      </w:r>
      <w:r>
        <w:br/>
      </w:r>
    </w:p>
    <w:p>
      <w:pPr>
        <w:pStyle w:val="null3"/>
        <w:jc w:val="center"/>
        <w:outlineLvl w:val="2"/>
      </w:pPr>
      <w:r>
        <w:rPr>
          <w:rFonts w:ascii="仿宋_GB2312" w:hAnsi="仿宋_GB2312" w:cs="仿宋_GB2312" w:eastAsia="仿宋_GB2312"/>
          <w:sz w:val="28"/>
          <w:b/>
        </w:rPr>
        <w:t>铜川市环境监测站</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铜川市环境监测站</w:t>
      </w:r>
      <w:r>
        <w:rPr>
          <w:rFonts w:ascii="仿宋_GB2312" w:hAnsi="仿宋_GB2312" w:cs="仿宋_GB2312" w:eastAsia="仿宋_GB2312"/>
        </w:rPr>
        <w:t>委托，拟对</w:t>
      </w:r>
      <w:r>
        <w:rPr>
          <w:rFonts w:ascii="仿宋_GB2312" w:hAnsi="仿宋_GB2312" w:cs="仿宋_GB2312" w:eastAsia="仿宋_GB2312"/>
        </w:rPr>
        <w:t>2025年度省控空气自动站运维服务及备机耗材采购项目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ZCSP-铜川市-2025-00481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2025年度省控空气自动站运维服务及备机耗材采购项目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按照《2025年铜川市生态环境监测方案》（铜环通字〔2025〕81号）文件要求，铜川市环境监测站需要完成省控空气 自动站、省控地表水断面、降尘、降雨和eDNA水生生物等例行监测。拟采购1年常规试剂耗材、运维所需耗材和备件（采购 备件需适配我站负责运维的武汉天虹、安徽蓝盾和河北先河的自动监测设备），并需提供运行维护服务，确保8个空气自动站 点正常稳定运行。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采购包1（2025年度省控空气自动站运维服务及备机耗材采购项目）：属于专门面向小微企业采购。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 ：供应商具有独立承担民事责任能力的法人、其他组织或自然人，并出具合法有效的营业执照或事业单位法人证书等国家规定的相关证明，自然人参与的提供其身份证明；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 ：提供具有财务审计资质单位出具的 2024年度财务审计报告（成立时间至磋商时间不足一年的可提 供成立后任意时段的资产负债表）或响应文件递交截止时间前六个月内其基本账户银行出具的资 信证明（附基本账户证明）或政府采购信用担保机构出具的磋商担保函；</w:t>
      </w:r>
    </w:p>
    <w:p>
      <w:pPr>
        <w:pStyle w:val="null3"/>
      </w:pPr>
      <w:r>
        <w:rPr>
          <w:rFonts w:ascii="仿宋_GB2312" w:hAnsi="仿宋_GB2312" w:cs="仿宋_GB2312" w:eastAsia="仿宋_GB2312"/>
        </w:rPr>
        <w:t>3、税收交纳证明 ：提供响应文件递交截止时间前一年内任意一个月的缴费凭据（依法免税的供应商应提供相关文件 证明）；</w:t>
      </w:r>
    </w:p>
    <w:p>
      <w:pPr>
        <w:pStyle w:val="null3"/>
      </w:pPr>
      <w:r>
        <w:rPr>
          <w:rFonts w:ascii="仿宋_GB2312" w:hAnsi="仿宋_GB2312" w:cs="仿宋_GB2312" w:eastAsia="仿宋_GB2312"/>
        </w:rPr>
        <w:t>4、社会保障资金交纳证明：提供响应文件递交截止时间前一年内任意一个月的社保缴费凭据或社保机构开具的社会保险参保 缴费情况证明（依法不需要缴纳社会保障资金的供应商应提供相关证明）；</w:t>
      </w:r>
    </w:p>
    <w:p>
      <w:pPr>
        <w:pStyle w:val="null3"/>
      </w:pPr>
      <w:r>
        <w:rPr>
          <w:rFonts w:ascii="仿宋_GB2312" w:hAnsi="仿宋_GB2312" w:cs="仿宋_GB2312" w:eastAsia="仿宋_GB2312"/>
        </w:rPr>
        <w:t>5、承诺、说明及书面声明 ：1、提供具有履行本合同所必需的设备和专业技术能力的说明及承诺； 2、提供参加政府采购活动 前三年内在经营活动中没有重大违法记录的书面声明；</w:t>
      </w:r>
    </w:p>
    <w:p>
      <w:pPr>
        <w:pStyle w:val="null3"/>
      </w:pPr>
      <w:r>
        <w:rPr>
          <w:rFonts w:ascii="仿宋_GB2312" w:hAnsi="仿宋_GB2312" w:cs="仿宋_GB2312" w:eastAsia="仿宋_GB2312"/>
        </w:rPr>
        <w:t>6、法定代表人授权书/法定代表人身份证明 ：法定代表人参与磋商时需提供法定代表人身份证复印件；被授权人参与磋商时需提供法定代表人 授权委托书；</w:t>
      </w:r>
    </w:p>
    <w:p>
      <w:pPr>
        <w:pStyle w:val="null3"/>
      </w:pPr>
      <w:r>
        <w:rPr>
          <w:rFonts w:ascii="仿宋_GB2312" w:hAnsi="仿宋_GB2312" w:cs="仿宋_GB2312" w:eastAsia="仿宋_GB2312"/>
        </w:rPr>
        <w:t>7、信用查询 ：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铜川市新区齐庆路4号铜川环保大楼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铜川市环境监测站经办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13571568737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陕西省西安市未央区陕西省西安市经济技术开发区中登文景大厦B座2105室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闫晓颖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13468798104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铜川市环境监测站</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联系人：闫晓颖</w:t>
      </w:r>
    </w:p>
    <w:p>
      <w:pPr>
        <w:pStyle w:val="null3"/>
      </w:pPr>
      <w:r>
        <w:rPr>
          <w:rFonts w:ascii="仿宋_GB2312" w:hAnsi="仿宋_GB2312" w:cs="仿宋_GB2312" w:eastAsia="仿宋_GB2312"/>
        </w:rPr>
        <w:t>联系电话：13468798104</w:t>
      </w:r>
    </w:p>
    <w:p>
      <w:pPr>
        <w:pStyle w:val="null3"/>
      </w:pPr>
      <w:r>
        <w:rPr>
          <w:rFonts w:ascii="仿宋_GB2312" w:hAnsi="仿宋_GB2312" w:cs="仿宋_GB2312" w:eastAsia="仿宋_GB2312"/>
        </w:rPr>
        <w:t>地址：陕西省西安市未央区陕西省西安市经济技术开发区中登文景大厦B座2105室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2025年铜川市生态环境监测方案》（铜环通字〔2025〕81号）文件要求，铜川市环境监测站需要完成省控空气自动站、省控地表水断面、降尘、降雨和eDNA水生生物等例行监测。拟采购1年常规试剂耗材、运维所需耗材和备件（采购备件需适配我站负责运维的武汉天虹、安徽蓝盾和河北先河的自动监测设备），并需提供运行维护服务，确保8个空气自动站点正常稳定运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center"/>
            </w:pPr>
            <w:r>
              <w:rPr>
                <w:rFonts w:ascii="仿宋_GB2312" w:hAnsi="仿宋_GB2312" w:cs="仿宋_GB2312" w:eastAsia="仿宋_GB2312"/>
                <w:sz w:val="32"/>
              </w:rPr>
              <w:t>试剂耗材</w:t>
            </w:r>
            <w:r>
              <w:rPr>
                <w:rFonts w:ascii="仿宋_GB2312" w:hAnsi="仿宋_GB2312" w:cs="仿宋_GB2312" w:eastAsia="仿宋_GB2312"/>
                <w:sz w:val="32"/>
              </w:rPr>
              <w:t>采购</w:t>
            </w:r>
            <w:r>
              <w:rPr>
                <w:rFonts w:ascii="仿宋_GB2312" w:hAnsi="仿宋_GB2312" w:cs="仿宋_GB2312" w:eastAsia="仿宋_GB2312"/>
                <w:sz w:val="32"/>
              </w:rPr>
              <w:t>清单</w:t>
            </w:r>
          </w:p>
          <w:p>
            <w:pPr>
              <w:pStyle w:val="null3"/>
              <w:jc w:val="both"/>
            </w:pPr>
            <w:r>
              <w:rPr>
                <w:rFonts w:ascii="仿宋_GB2312" w:hAnsi="仿宋_GB2312" w:cs="仿宋_GB2312" w:eastAsia="仿宋_GB2312"/>
                <w:sz w:val="24"/>
              </w:rPr>
              <w:t xml:space="preserve"> </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344"/>
              <w:gridCol w:w="884"/>
              <w:gridCol w:w="624"/>
              <w:gridCol w:w="344"/>
              <w:gridCol w:w="344"/>
            </w:tblGrid>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申购服务或供应品名称</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规格/型号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大肚移液管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量筒</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量筒</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量筒</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高型玻璃烧杯</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玻璃烧杯</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玻璃烧杯</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玻璃烧杯</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玻璃烧杯</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玻璃烧杯</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容量瓶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容量瓶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容量瓶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分液漏斗</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分液漏斗</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聚四氟乙烯容量瓶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具塞比色管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擦镜纸</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本</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石棉网</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石棉直径15cm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张</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磁力搅拌子</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圆柱形5mm*20mm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滤膜</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0.45 μm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大张滤纸</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60cm*60cm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定性滤纸</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中速直径12.5cm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移液枪枪头</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0.25-2.5mL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移液枪枪头</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0.5-10mL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石英比色皿</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石英比色皿</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塑料吸管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2mL/100支</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一次性手套  </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M码</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一次性手套 </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S码</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一次性手套</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L码</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一次性口罩</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10个/包</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离子色谱用样品瓶+过滤帽</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塑料药勺</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≥5cm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海绵杯刷</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长柄</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平底离心管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吹扫瓶+瓶盖</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封口膜</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4IN.×125FT</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注射器</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10µl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注射器</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50µl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长镊子</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大约30cm，直头</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玻璃纤维滤膜</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直径47mm，孔径45μm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干燥柱</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250*10mm，内填10g无水硫酸钠</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具塞刻度管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气相色谱小瓶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塑料采样瓶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3000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防毒面罩</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汞</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防毒面罩</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石油</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梨形分液漏斗</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250mL(聚四氟乙烯活塞，外螺口瓶盖，瓶身带刻度)</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梨形分液漏斗</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500mL(聚四氟乙烯活塞，外螺口瓶盖，瓶身带刻度)</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医用胶带</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≥1cm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正己烷</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4L 色谱纯</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锥形瓶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汞灯</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原子荧光光度计</w:t>
                  </w:r>
                  <w:r>
                    <w:rPr>
                      <w:rFonts w:ascii="仿宋_GB2312" w:hAnsi="仿宋_GB2312" w:cs="仿宋_GB2312" w:eastAsia="仿宋_GB2312"/>
                      <w:sz w:val="24"/>
                      <w:color w:val="000000"/>
                    </w:rPr>
                    <w:t xml:space="preserve"> </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棕色玻璃瓶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棕色玻璃瓶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pH试纸</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广泛1-14</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黄色乳胶管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内径6mm，外径9mm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数字化DO IDS溶解氧电极</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极化电压-670mV±10mV</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石英比色皿</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全自动COD消解罐</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全自动COD分析仪配套</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COD冷凝管+消解罐</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石墨回流消解仪配套</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废液专用排水管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PVC/10*13*1500mm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制冰机</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15KG</w:t>
                  </w:r>
                  <w:r>
                    <w:rPr>
                      <w:rFonts w:ascii="仿宋_GB2312" w:hAnsi="仿宋_GB2312" w:cs="仿宋_GB2312" w:eastAsia="仿宋_GB2312"/>
                      <w:sz w:val="24"/>
                      <w:color w:val="000000"/>
                    </w:rPr>
                    <w:t xml:space="preserve"> </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固定剂箱</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5-15L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大肚移液管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大肚移液管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溶解氧探头</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0-20mg/L</w:t>
                  </w:r>
                  <w:r>
                    <w:br/>
                  </w:r>
                  <w:r>
                    <w:rPr>
                      <w:rFonts w:ascii="仿宋_GB2312" w:hAnsi="仿宋_GB2312" w:cs="仿宋_GB2312" w:eastAsia="仿宋_GB2312"/>
                      <w:sz w:val="24"/>
                      <w:color w:val="000000"/>
                    </w:rPr>
                    <w:t xml:space="preserve"> 精度：±0.05mg/L </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pH探头</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0-14.00ph</w:t>
                  </w:r>
                  <w:r>
                    <w:br/>
                  </w:r>
                  <w:r>
                    <w:rPr>
                      <w:rFonts w:ascii="仿宋_GB2312" w:hAnsi="仿宋_GB2312" w:cs="仿宋_GB2312" w:eastAsia="仿宋_GB2312"/>
                      <w:sz w:val="24"/>
                      <w:color w:val="000000"/>
                    </w:rPr>
                    <w:t xml:space="preserve"> 精度：±0.01ph</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电导率探头</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±0.5%FS</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金刚采水器</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插电式冷藏箱</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60cm*45cm*40cm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手持式气象仪</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0~45m/s</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石油类采样器</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分液漏斗架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承500mL分液漏斗；一排放6个，双排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分液漏斗架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承250mL分液漏斗；一排放6个，双排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纤维盘尺</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50米，纤维布尺带</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硬质试管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φ25mm*200mm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医用检查手套</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无粉大号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硅镁型吸附剂</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60-100目 500g/瓶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移液枪</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移液枪枪头</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透明玻璃瓶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脱脂棉</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医用级</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称量纸</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100mm*100mm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医用纱布</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大号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二氯甲烷</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色谱级</w:t>
                  </w:r>
                  <w:r>
                    <w:rPr>
                      <w:rFonts w:ascii="仿宋_GB2312" w:hAnsi="仿宋_GB2312" w:cs="仿宋_GB2312" w:eastAsia="仿宋_GB2312"/>
                      <w:sz w:val="21"/>
                      <w:color w:val="000000"/>
                    </w:rPr>
                    <w:t>1</w:t>
                  </w:r>
                  <w:r>
                    <w:rPr>
                      <w:rFonts w:ascii="仿宋_GB2312" w:hAnsi="仿宋_GB2312" w:cs="仿宋_GB2312" w:eastAsia="仿宋_GB2312"/>
                      <w:sz w:val="21"/>
                      <w:color w:val="000000"/>
                    </w:rPr>
                    <w:t>L/</w:t>
                  </w:r>
                  <w:r>
                    <w:rPr>
                      <w:rFonts w:ascii="仿宋_GB2312" w:hAnsi="仿宋_GB2312" w:cs="仿宋_GB2312" w:eastAsia="仿宋_GB2312"/>
                      <w:sz w:val="21"/>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石英玻璃毛细管柱</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(30m*0.32mm,0.25</w:t>
                  </w:r>
                  <w:r>
                    <w:rPr>
                      <w:rFonts w:ascii="仿宋_GB2312" w:hAnsi="仿宋_GB2312" w:cs="仿宋_GB2312" w:eastAsia="仿宋_GB2312"/>
                      <w:sz w:val="21"/>
                      <w:color w:val="000000"/>
                    </w:rPr>
                    <w:t>μm</w:t>
                  </w:r>
                  <w:r>
                    <w:rPr>
                      <w:rFonts w:ascii="仿宋_GB2312" w:hAnsi="仿宋_GB2312" w:cs="仿宋_GB2312" w:eastAsia="仿宋_GB2312"/>
                      <w:sz w:val="21"/>
                      <w:color w:val="000000"/>
                    </w:rPr>
                    <w:t>)</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pH校准液</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pH=4.00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250mL/</w:t>
                  </w:r>
                  <w:r>
                    <w:rPr>
                      <w:rFonts w:ascii="仿宋_GB2312" w:hAnsi="仿宋_GB2312" w:cs="仿宋_GB2312" w:eastAsia="仿宋_GB2312"/>
                      <w:sz w:val="21"/>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pH校准液</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pH=6.86</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250mL/</w:t>
                  </w:r>
                  <w:r>
                    <w:rPr>
                      <w:rFonts w:ascii="仿宋_GB2312" w:hAnsi="仿宋_GB2312" w:cs="仿宋_GB2312" w:eastAsia="仿宋_GB2312"/>
                      <w:sz w:val="21"/>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pH校准液</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pH=9.18</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250mL/</w:t>
                  </w:r>
                  <w:r>
                    <w:rPr>
                      <w:rFonts w:ascii="仿宋_GB2312" w:hAnsi="仿宋_GB2312" w:cs="仿宋_GB2312" w:eastAsia="仿宋_GB2312"/>
                      <w:sz w:val="21"/>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塑料桶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聚丙烯瓶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塑料瓶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碘化物色谱柱</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4μm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电导校准液</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84μS/cm250ml装</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电导校准液</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1413μS/cm250ml装</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pH缓冲液</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pH=4.00</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pH缓冲液</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250ml装pH=6.86</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pH缓冲液</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pH=9.18250ml装</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离子色谱用样品瓶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5mL250个/盒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离子色谱用过滤帽</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5mL250个/盒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雨量量器</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20厘米雨量器专用（10mm）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砂芯过滤装置</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离子色谱仪氮气管路接头</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气路接头</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对</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自动移液枪头</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自动移液枪头</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擦镜纸</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≥4*4cm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本</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称量纸</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≥4*4cm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定性滤纸</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乳胶手套</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双</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比色皿</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薄壁石英材质1cm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比色皿</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薄壁石英材质2cm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氟参比电极</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≥Ø5*120mm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氟离子电极</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≥Ø12*120mm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一次性医用手套</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一次性医用手套</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L号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不锈钢医用剪刀</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≥8cm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实验室不锈钢镊子</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14cm-16cm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塑料镊子</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≥5cm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玻璃纤维滤膜</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滤膜直径：47mm100张/盒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棕色小型冲击式吸收瓶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量筒</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硅胶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封口膜</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≥10*10cm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移液枪架</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圆形</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收纳盒</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长方形长40cm*宽28cm*高25cm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吸耳球</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小号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胶头滴管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一次性（2ml）</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透明自封袋</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9cm*13cm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纸带</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PM2.5</w:t>
                  </w:r>
                  <w:r>
                    <w:rPr>
                      <w:rFonts w:ascii="仿宋_GB2312" w:hAnsi="仿宋_GB2312" w:cs="仿宋_GB2312" w:eastAsia="仿宋_GB2312"/>
                      <w:sz w:val="24"/>
                      <w:color w:val="000000"/>
                    </w:rPr>
                    <w:t>、</w:t>
                  </w:r>
                  <w:r>
                    <w:rPr>
                      <w:rFonts w:ascii="仿宋_GB2312" w:hAnsi="仿宋_GB2312" w:cs="仿宋_GB2312" w:eastAsia="仿宋_GB2312"/>
                      <w:sz w:val="24"/>
                      <w:color w:val="000000"/>
                    </w:rPr>
                    <w:t>PM10</w:t>
                  </w:r>
                  <w:r>
                    <w:rPr>
                      <w:rFonts w:ascii="仿宋_GB2312" w:hAnsi="仿宋_GB2312" w:cs="仿宋_GB2312" w:eastAsia="仿宋_GB2312"/>
                      <w:sz w:val="24"/>
                      <w:color w:val="000000"/>
                    </w:rPr>
                    <w:t>分析仪用</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玻璃纤维滤纸带</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GFP3025</w:t>
                  </w:r>
                  <w:r>
                    <w:rPr>
                      <w:rFonts w:ascii="仿宋_GB2312" w:hAnsi="仿宋_GB2312" w:cs="仿宋_GB2312" w:eastAsia="仿宋_GB2312"/>
                      <w:sz w:val="24"/>
                      <w:color w:val="000000"/>
                    </w:rPr>
                    <w:t>（</w:t>
                  </w:r>
                  <w:r>
                    <w:rPr>
                      <w:rFonts w:ascii="仿宋_GB2312" w:hAnsi="仿宋_GB2312" w:cs="仿宋_GB2312" w:eastAsia="仿宋_GB2312"/>
                      <w:sz w:val="24"/>
                      <w:color w:val="000000"/>
                    </w:rPr>
                    <w:t>XHPM2001</w:t>
                  </w:r>
                  <w:r>
                    <w:rPr>
                      <w:rFonts w:ascii="仿宋_GB2312" w:hAnsi="仿宋_GB2312" w:cs="仿宋_GB2312" w:eastAsia="仿宋_GB2312"/>
                      <w:sz w:val="24"/>
                      <w:color w:val="000000"/>
                    </w:rPr>
                    <w:t>）</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纸带</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≥2cm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颗粒物监测仪外置泵组件</w:t>
                  </w:r>
                  <w:r>
                    <w:rPr>
                      <w:rFonts w:ascii="仿宋_GB2312" w:hAnsi="仿宋_GB2312" w:cs="仿宋_GB2312" w:eastAsia="仿宋_GB2312"/>
                      <w:sz w:val="24"/>
                      <w:color w:val="000000"/>
                    </w:rPr>
                    <w:t xml:space="preserve"> </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寿命：</w:t>
                  </w:r>
                  <w:r>
                    <w:rPr>
                      <w:rFonts w:ascii="仿宋_GB2312" w:hAnsi="仿宋_GB2312" w:cs="仿宋_GB2312" w:eastAsia="仿宋_GB2312"/>
                      <w:sz w:val="24"/>
                      <w:color w:val="000000"/>
                    </w:rPr>
                    <w:t>20000h</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真空泵</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最大真空度：</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-60~-90</w:t>
                  </w:r>
                  <w:r>
                    <w:rPr>
                      <w:rFonts w:ascii="仿宋_GB2312" w:hAnsi="仿宋_GB2312" w:cs="仿宋_GB2312" w:eastAsia="仿宋_GB2312"/>
                      <w:sz w:val="24"/>
                      <w:color w:val="000000"/>
                    </w:rPr>
                    <w:t>）</w:t>
                  </w:r>
                  <w:r>
                    <w:rPr>
                      <w:rFonts w:ascii="仿宋_GB2312" w:hAnsi="仿宋_GB2312" w:cs="仿宋_GB2312" w:eastAsia="仿宋_GB2312"/>
                      <w:sz w:val="24"/>
                      <w:color w:val="000000"/>
                    </w:rPr>
                    <w:t>kpa</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PTFE </w:t>
                  </w:r>
                  <w:r>
                    <w:rPr>
                      <w:rFonts w:ascii="仿宋_GB2312" w:hAnsi="仿宋_GB2312" w:cs="仿宋_GB2312" w:eastAsia="仿宋_GB2312"/>
                      <w:sz w:val="24"/>
                      <w:color w:val="000000"/>
                    </w:rPr>
                    <w:t>滤膜</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5μm</w:t>
                  </w:r>
                  <w:r>
                    <w:rPr>
                      <w:rFonts w:ascii="仿宋_GB2312" w:hAnsi="仿宋_GB2312" w:cs="仿宋_GB2312" w:eastAsia="仿宋_GB2312"/>
                      <w:sz w:val="24"/>
                      <w:color w:val="000000"/>
                    </w:rPr>
                    <w:t>，直径</w:t>
                  </w:r>
                  <w:r>
                    <w:rPr>
                      <w:rFonts w:ascii="仿宋_GB2312" w:hAnsi="仿宋_GB2312" w:cs="仿宋_GB2312" w:eastAsia="仿宋_GB2312"/>
                      <w:sz w:val="24"/>
                      <w:color w:val="000000"/>
                    </w:rPr>
                    <w:t>φ47mm</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臭氧涤除器</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量程显示： 0-50 ppb~0-20ppm自动量程</w:t>
                  </w:r>
                  <w:r>
                    <w:br/>
                  </w:r>
                  <w:r>
                    <w:rPr>
                      <w:rFonts w:ascii="仿宋_GB2312" w:hAnsi="仿宋_GB2312" w:cs="仿宋_GB2312" w:eastAsia="仿宋_GB2312"/>
                    </w:rPr>
                    <w:t xml:space="preserve">  </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滤膜</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片</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臭氧发生器</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90w</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光电管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光谱范围5</w:t>
                  </w:r>
                  <w:r>
                    <w:rPr>
                      <w:rFonts w:ascii="仿宋_GB2312" w:hAnsi="仿宋_GB2312" w:cs="仿宋_GB2312" w:eastAsia="仿宋_GB2312"/>
                      <w:sz w:val="24"/>
                      <w:color w:val="000000"/>
                    </w:rPr>
                    <w:t>00-1500nm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前置板</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+13dbm~+15dbm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流量传感器</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1-25L/min</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限流孔</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316</w:t>
                  </w:r>
                  <w:r>
                    <w:rPr>
                      <w:rFonts w:ascii="仿宋_GB2312" w:hAnsi="仿宋_GB2312" w:cs="仿宋_GB2312" w:eastAsia="仿宋_GB2312"/>
                      <w:sz w:val="24"/>
                      <w:color w:val="000000"/>
                    </w:rPr>
                    <w:t>不锈钢</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光电管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光谱范围</w:t>
                  </w:r>
                  <w:r>
                    <w:rPr>
                      <w:rFonts w:ascii="仿宋_GB2312" w:hAnsi="仿宋_GB2312" w:cs="仿宋_GB2312" w:eastAsia="仿宋_GB2312"/>
                      <w:sz w:val="24"/>
                      <w:color w:val="000000"/>
                    </w:rPr>
                    <w:t>400-1100nm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锌灯</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波长：214nm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电源板</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支持远程校准与诊断</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块</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臭氧剔除器</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500w</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电磁阀</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工作电流</w:t>
                  </w:r>
                  <w:r>
                    <w:rPr>
                      <w:rFonts w:ascii="仿宋_GB2312" w:hAnsi="仿宋_GB2312" w:cs="仿宋_GB2312" w:eastAsia="仿宋_GB2312"/>
                      <w:sz w:val="24"/>
                      <w:color w:val="000000"/>
                    </w:rPr>
                    <w:t>0.6A</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汞灯</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185nm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内置泵</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0.65kw</w:t>
                  </w:r>
                  <w:r>
                    <w:br/>
                  </w:r>
                  <w:r>
                    <w:rPr>
                      <w:rFonts w:ascii="仿宋_GB2312" w:hAnsi="仿宋_GB2312" w:cs="仿宋_GB2312" w:eastAsia="仿宋_GB2312"/>
                      <w:sz w:val="24"/>
                      <w:color w:val="000000"/>
                    </w:rPr>
                    <w:t>流量：30m³/h</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相关轮</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硅涂层</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片</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相关轮电机</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12v</w:t>
                  </w:r>
                  <w:r>
                    <w:rPr>
                      <w:rFonts w:ascii="仿宋_GB2312" w:hAnsi="仿宋_GB2312" w:cs="仿宋_GB2312" w:eastAsia="仿宋_GB2312"/>
                      <w:sz w:val="24"/>
                      <w:color w:val="000000"/>
                    </w:rPr>
                    <w:t>直流</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内置泵</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0.2kw</w:t>
                  </w:r>
                  <w:r>
                    <w:br/>
                  </w:r>
                  <w:r>
                    <w:rPr>
                      <w:rFonts w:ascii="仿宋_GB2312" w:hAnsi="仿宋_GB2312" w:cs="仿宋_GB2312" w:eastAsia="仿宋_GB2312"/>
                      <w:sz w:val="24"/>
                      <w:color w:val="000000"/>
                    </w:rPr>
                    <w:t>流量：20000L/h</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活性炭</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寿命：</w:t>
                  </w:r>
                  <w:r>
                    <w:rPr>
                      <w:rFonts w:ascii="仿宋_GB2312" w:hAnsi="仿宋_GB2312" w:cs="仿宋_GB2312" w:eastAsia="仿宋_GB2312"/>
                      <w:sz w:val="24"/>
                      <w:color w:val="000000"/>
                    </w:rPr>
                    <w:t>6~12</w:t>
                  </w:r>
                  <w:r>
                    <w:rPr>
                      <w:rFonts w:ascii="仿宋_GB2312" w:hAnsi="仿宋_GB2312" w:cs="仿宋_GB2312" w:eastAsia="仿宋_GB2312"/>
                      <w:sz w:val="24"/>
                      <w:color w:val="000000"/>
                    </w:rPr>
                    <w:t>个月</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156</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氧化剂</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CO→CO₂</w:t>
                  </w:r>
                  <w:r>
                    <w:rPr>
                      <w:rFonts w:ascii="仿宋_GB2312" w:hAnsi="仿宋_GB2312" w:cs="仿宋_GB2312" w:eastAsia="仿宋_GB2312"/>
                      <w:sz w:val="24"/>
                      <w:color w:val="000000"/>
                    </w:rPr>
                    <w:t>转化率</w:t>
                  </w:r>
                  <w:r>
                    <w:rPr>
                      <w:rFonts w:ascii="仿宋_GB2312" w:hAnsi="仿宋_GB2312" w:cs="仿宋_GB2312" w:eastAsia="仿宋_GB2312"/>
                      <w:sz w:val="24"/>
                      <w:color w:val="000000"/>
                    </w:rPr>
                    <w:t xml:space="preserve"> ≥99.9%</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157</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泵膜压片</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5~2000MM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片</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158</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外置泵</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采样流量：（10~20）</w:t>
                  </w:r>
                  <w:r>
                    <w:rPr>
                      <w:rFonts w:ascii="仿宋_GB2312" w:hAnsi="仿宋_GB2312" w:cs="仿宋_GB2312" w:eastAsia="仿宋_GB2312"/>
                      <w:sz w:val="24"/>
                      <w:color w:val="000000"/>
                    </w:rPr>
                    <w:t>L/min</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159</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外置泵</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采样流量：（10~20）</w:t>
                  </w:r>
                  <w:r>
                    <w:rPr>
                      <w:rFonts w:ascii="仿宋_GB2312" w:hAnsi="仿宋_GB2312" w:cs="仿宋_GB2312" w:eastAsia="仿宋_GB2312"/>
                      <w:sz w:val="24"/>
                      <w:color w:val="000000"/>
                    </w:rPr>
                    <w:t>L/min</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160</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光电管</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-10℃~60℃</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161</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红外光源</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2~15um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162</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采样器密封圈</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163</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采样器密封圈</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8mm</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164</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悬挂式干粉灭火器</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5</w:t>
                  </w:r>
                  <w:r>
                    <w:rPr>
                      <w:rFonts w:ascii="仿宋_GB2312" w:hAnsi="仿宋_GB2312" w:cs="仿宋_GB2312" w:eastAsia="仿宋_GB2312"/>
                      <w:sz w:val="24"/>
                      <w:color w:val="000000"/>
                    </w:rPr>
                    <w:t>公斤，钢瓶</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165</w:t>
                  </w:r>
                </w:p>
              </w:tc>
              <w:tc>
                <w:tcPr>
                  <w:tcW w:type="dxa" w:w="8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换气扇</w:t>
                  </w:r>
                </w:p>
              </w:tc>
              <w:tc>
                <w:tcPr>
                  <w:tcW w:type="dxa" w:w="6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换气量：100~200m³/h</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bl>
          <w:p>
            <w:pPr>
              <w:pStyle w:val="null3"/>
              <w:jc w:val="both"/>
            </w:pPr>
            <w:r>
              <w:rPr>
                <w:rFonts w:ascii="仿宋_GB2312" w:hAnsi="仿宋_GB2312" w:cs="仿宋_GB2312" w:eastAsia="仿宋_GB2312"/>
                <w:sz w:val="24"/>
              </w:rPr>
              <w:t>备注：自动站运维耗材包含全年运维服务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自合同签订之日起一个月。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全部产品安装、调试完毕及服务完成并经验收合格后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 设备到货后，依采购文件要求对全部设备、产品、型号、规格、数量、外型、外观、包装及资料、文件进行验收。 1.2 拆箱后，应对其全部产品、零件、配件、用户许可证书、资料、介质造册登记，并与装箱单 对比，如有出入应立即书面记录，由中标投标人联络厂家解决，如影响安装则按合同有关条款处理。 1.3 验收按国家有关的规定、规范进行。如果合同设备运输和安装调试过程中因中标供应商原因发现设备有短缺、次品、损坏或其它不符合本合同规定或质量要求，中标供应商应在7个工作日内安排换货到指定地点，以保证合同设备成功完整交付。换货的全部费用由中标供应商承担，若超过合同期限的，应承担迟延履行的违约责任。 1.4合同设备到货、安装、验收合格后，采购人、用户单位出具书面确认材料视为合同设备已经交付。 2,项目初验 2.1 项目交货期内到货、安装调试，中标供应商必须依照招标文件的要求和响应文件的承诺，将设备、安装并调试至正常使用的最佳状态。 2.2 项目初验标准依次序对照适用标准为:①符合中华人民共和国国家安全质量标准、环保标准或行业标②符合招标文件和响应承诺中采购人认可的合理最佳配置、参数及各项要求 。 2.3 设备安装调试完毕，完成招标文件及合同要求的所有采购内准;容，且达到采购要求后、采购人出具书面确认函，视 为通过项目初验。 3.整体验收要求 3.1 完成本项目安装试用后，由采购人组织项目的整体验收。3.2 要求对全部设备、产品、型号、规格、数量、外型、外观、包装及资料、文件(如 装箱单、保修单、随箱介质等)的验收。 3.3 中标供应商应根据所提交的验收方案和实施办法， 自行组织设备和人员，并在采购人监査下现场进行测试和验收。 3.4 中标供应商应负责在项目验收时将货物的全部有关产品说明书、安装手册、技术 文件、资料及安装、验收报告等文档汇集成册交付采购人。 4、验收依据 (1)合同文本及合同补充文件(条款);(2)产品的合法来源渠道证明文件、响应功能证明材料;(3)磋商文件; (4)中标人的响应文件; (5)货物清单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在买方对卖方违约而采取的任何补救措施不受影响的情况下，买方可向卖方发出书 面违约通知书，提出终止部分或全部合同: (1)如果卖方未能在合同规定的期限内或买方根据规定同意延长的期限内提供部 分或全部货物;或误期赔偿费达到最高限额。(2)如果卖方未能履行合同规定的其它任何义务。 (3)如果买方认为卖方在 本合同的竞争和实施过程中有腐败和欺诈行为。为此目的，定义下述条“腐败行为”是指提供、给予、接受或索取任何有 价值的物品来影响买方在采购过程或合同实施过程中的行为。“欺诈行为”是指为了影响采购件:过程或合同实施过程而谎报或隐瞒 事实，损害买方利益的行为。 因执行本合同所发生的或与本合同有关的一切争议,双方应通过友好协商解决。如果协商开始后 六十(60)天还不能解决，双方可依以下一种方式解决: 1、双方达成仲裁协议，向约定的仲裁委员会申请仲裁。 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 2024年度财务审计报告（成立时间至磋商时间不足一年的可提 供成立后任意时段的资产负债表）或响应文件递交截止时间前六个月内其基本账户银行出具的资 信证明（附基本账户证明）或政府采购信用担保机构出具的磋商担保函；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提供响应文件递交截止时间前一年内任意一个月的缴费凭据（依法免税的供应商应提供相关文件 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提供响应文件递交截止时间前一年内任意一个月的社保缴费凭据或社保机构开具的社会保险参保 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承诺、说明及书面声明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2、提供参加政府采购活动 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法定代表人参与磋商时需提供法定代表人身份证复印件；被授权人参与磋商时需提供法定代表人 授权委托书；</w:t>
            </w:r>
          </w:p>
        </w:tc>
        <w:tc>
          <w:tcPr>
            <w:tcW w:type="dxa" w:w="1661"/>
          </w:tcPr>
          <w:p>
            <w:pPr>
              <w:pStyle w:val="null3"/>
            </w:pPr>
            <w:r>
              <w:rPr>
                <w:rFonts w:ascii="仿宋_GB2312" w:hAnsi="仿宋_GB2312" w:cs="仿宋_GB2312" w:eastAsia="仿宋_GB2312"/>
              </w:rPr>
              <w:t>供应商应提交的相关资格证明材料.docx 法定代表人身份证明书.docx 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w:t>
            </w:r>
          </w:p>
        </w:tc>
        <w:tc>
          <w:tcPr>
            <w:tcW w:type="dxa" w:w="1661"/>
          </w:tcPr>
          <w:p>
            <w:pPr>
              <w:pStyle w:val="null3"/>
            </w:pPr>
            <w:r>
              <w:rPr>
                <w:rFonts w:ascii="仿宋_GB2312" w:hAnsi="仿宋_GB2312" w:cs="仿宋_GB2312" w:eastAsia="仿宋_GB2312"/>
              </w:rPr>
              <w:t>中小企业声明函 商务应答表 报价表 磋商技术方案.docx 响应文件封面 产品技术参数表 分项报价表.docx 供应商应提交的相关资格证明材料.docx 法定代表人身份证明书.docx 残疾人福利性单位声明函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应满足磋商文件中规定的90天。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实施方案：包括但不限于对本项目的规划 、解决方案、组织实施情况、 项目整体实施、服务方案等</w:t>
            </w:r>
          </w:p>
        </w:tc>
        <w:tc>
          <w:tcPr>
            <w:tcW w:type="dxa" w:w="2492"/>
          </w:tcPr>
          <w:p>
            <w:pPr>
              <w:pStyle w:val="null3"/>
            </w:pPr>
            <w:r>
              <w:rPr>
                <w:rFonts w:ascii="仿宋_GB2312" w:hAnsi="仿宋_GB2312" w:cs="仿宋_GB2312" w:eastAsia="仿宋_GB2312"/>
              </w:rPr>
              <w:t>1、实施方案全面，针对性强，具有较强可操作性，7～10分；2、实施方案合理，针对性、可操作性一般， 4～6分；3、实施方案不清晰，针对性、可操作性较差，1～3分。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项目供货方案：有具体的备货、供货安排及供货进度保证措施，货物安全 保障措施等</w:t>
            </w:r>
          </w:p>
        </w:tc>
        <w:tc>
          <w:tcPr>
            <w:tcW w:type="dxa" w:w="2492"/>
          </w:tcPr>
          <w:p>
            <w:pPr>
              <w:pStyle w:val="null3"/>
            </w:pPr>
            <w:r>
              <w:rPr>
                <w:rFonts w:ascii="仿宋_GB2312" w:hAnsi="仿宋_GB2312" w:cs="仿宋_GB2312" w:eastAsia="仿宋_GB2312"/>
              </w:rPr>
              <w:t>1、方案内容完整、全面、详细的计7～10分；2、方案内容有欠缺、较薄弱的计4～6分；3、方案内容有严 重欠缺、薄弱的计1～3分。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应急处理：供应商针对本项目提供故障突发事件的处理方案以及故障响应的时效性保证措施</w:t>
            </w:r>
          </w:p>
        </w:tc>
        <w:tc>
          <w:tcPr>
            <w:tcW w:type="dxa" w:w="2492"/>
          </w:tcPr>
          <w:p>
            <w:pPr>
              <w:pStyle w:val="null3"/>
            </w:pPr>
            <w:r>
              <w:rPr>
                <w:rFonts w:ascii="仿宋_GB2312" w:hAnsi="仿宋_GB2312" w:cs="仿宋_GB2312" w:eastAsia="仿宋_GB2312"/>
              </w:rPr>
              <w:t>1、方案内容完整、全面、详细的计7～10分；2、方案内容有欠缺、较薄弱的计4～6分；3、方案内容有严 重欠缺、薄弱的计1～3分。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培训方案：包括但不限于培训计划、方式、时间、地点、人员、提供使用方法等专业的技术咨询和指导等方面</w:t>
            </w:r>
          </w:p>
        </w:tc>
        <w:tc>
          <w:tcPr>
            <w:tcW w:type="dxa" w:w="2492"/>
          </w:tcPr>
          <w:p>
            <w:pPr>
              <w:pStyle w:val="null3"/>
            </w:pPr>
            <w:r>
              <w:rPr>
                <w:rFonts w:ascii="仿宋_GB2312" w:hAnsi="仿宋_GB2312" w:cs="仿宋_GB2312" w:eastAsia="仿宋_GB2312"/>
              </w:rPr>
              <w:t>1、培训方案内容具体、完整、详细、全面的计7～10分；2、培训方案内容欠缺、薄弱的计4～6分；3、培 训方案内容有严重欠缺、薄弱的计1～3分。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售后服务：包括但不限于拟投入售后 服务人员配置情况、项目交付用户后出现问题响应时间及措施、质量保证范围以及相关后期服务承诺等方面</w:t>
            </w:r>
          </w:p>
        </w:tc>
        <w:tc>
          <w:tcPr>
            <w:tcW w:type="dxa" w:w="2492"/>
          </w:tcPr>
          <w:p>
            <w:pPr>
              <w:pStyle w:val="null3"/>
            </w:pPr>
            <w:r>
              <w:rPr>
                <w:rFonts w:ascii="仿宋_GB2312" w:hAnsi="仿宋_GB2312" w:cs="仿宋_GB2312" w:eastAsia="仿宋_GB2312"/>
              </w:rPr>
              <w:t>1、售后服务方案内容具体、完整、详细、全面的计 7～10分；2、售后服务方案内容欠缺、薄弱的计4～6 分；3、售后服务方案内容有严重欠缺、薄弱的计1～3分。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能提供所投产品的合法来源渠道及产品合格证明文件</w:t>
            </w:r>
          </w:p>
        </w:tc>
        <w:tc>
          <w:tcPr>
            <w:tcW w:type="dxa" w:w="2492"/>
          </w:tcPr>
          <w:p>
            <w:pPr>
              <w:pStyle w:val="null3"/>
            </w:pPr>
            <w:r>
              <w:rPr>
                <w:rFonts w:ascii="仿宋_GB2312" w:hAnsi="仿宋_GB2312" w:cs="仿宋_GB2312" w:eastAsia="仿宋_GB2312"/>
              </w:rPr>
              <w:t>所投产品应符合国家行业标准根据响应程度计1～6分（包括但不限于销售协议、代理协议、原厂授权、检验 或检测报告、出厂合格证及国家强制认证等），根据提供情况酌情赋分，未提供不计分缺项不得分)。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人员配备：投入本项目人员，团队分 工明确，配置齐全</w:t>
            </w:r>
          </w:p>
        </w:tc>
        <w:tc>
          <w:tcPr>
            <w:tcW w:type="dxa" w:w="2492"/>
          </w:tcPr>
          <w:p>
            <w:pPr>
              <w:pStyle w:val="null3"/>
            </w:pPr>
            <w:r>
              <w:rPr>
                <w:rFonts w:ascii="仿宋_GB2312" w:hAnsi="仿宋_GB2312" w:cs="仿宋_GB2312" w:eastAsia="仿宋_GB2312"/>
              </w:rPr>
              <w:t>根据人员配置的数量、职称、经验等方面，横向比较打分（1～9分）。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重点问题解决方案：根据现有重点难点问题，提出可操作性的对策建议</w:t>
            </w:r>
          </w:p>
        </w:tc>
        <w:tc>
          <w:tcPr>
            <w:tcW w:type="dxa" w:w="2492"/>
          </w:tcPr>
          <w:p>
            <w:pPr>
              <w:pStyle w:val="null3"/>
            </w:pPr>
            <w:r>
              <w:rPr>
                <w:rFonts w:ascii="仿宋_GB2312" w:hAnsi="仿宋_GB2312" w:cs="仿宋_GB2312" w:eastAsia="仿宋_GB2312"/>
              </w:rPr>
              <w:t>由评标委员会综合评审自主打分1～3分。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磋商技术方案.docx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详见附件：磋商技术方案.docx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