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版本号：SXGLZFCG2025-028号20250729001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陕西省铜川市防火应急道路建设项目代建管理服务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SXGLZFCG2025-028号</w:t>
      </w:r>
      <w:r>
        <w:br/>
      </w:r>
      <w:r>
        <w:br/>
      </w:r>
      <w:r>
        <w:br/>
      </w:r>
    </w:p>
    <w:p>
      <w:pPr>
        <w:pStyle w:val="null3"/>
        <w:jc w:val="center"/>
        <w:outlineLvl w:val="2"/>
      </w:pPr>
      <w:r>
        <w:rPr>
          <w:rFonts w:ascii="仿宋_GB2312" w:hAnsi="仿宋_GB2312" w:cs="仿宋_GB2312" w:eastAsia="仿宋_GB2312"/>
          <w:sz w:val="28"/>
          <w:b/>
        </w:rPr>
        <w:t>铜川市退耕还林工程办公室</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铜川市退耕还林工程办公室</w:t>
      </w:r>
      <w:r>
        <w:rPr>
          <w:rFonts w:ascii="仿宋_GB2312" w:hAnsi="仿宋_GB2312" w:cs="仿宋_GB2312" w:eastAsia="仿宋_GB2312"/>
        </w:rPr>
        <w:t>委托，拟对</w:t>
      </w:r>
      <w:r>
        <w:rPr>
          <w:rFonts w:ascii="仿宋_GB2312" w:hAnsi="仿宋_GB2312" w:cs="仿宋_GB2312" w:eastAsia="仿宋_GB2312"/>
        </w:rPr>
        <w:t>陕西省铜川市防火应急道路建设项目代建管理服务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SXGLZFCG2025-028号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陕西省铜川市防火应急道路建设项目代建管理服务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陕西省铜川市防火应急道路建设项目在耀州区、印台区、宜君县新建改扩建林区四级防火道路110.9公里，配套建设路基路面工程、桥涵工程、排水工程及工程等。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采购包1（陕西省铜川市防火应急道路建设项目代建管理服务）：属于专门面向中小企业采购。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2、法人身份证明或授权委托：法人身份证明或授权委托：法定代表人参加磋商须出具法定代表人身份证明（并附有效证件），被授权代理人参加磋商须出具法定代表人授权书及被授权人有效证件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3、供应商信誉：供应商不得为“信用中国”网站（www.creditchina.gov.cn）中列入失信被执行人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p>
      <w:pPr>
        <w:pStyle w:val="null3"/>
      </w:pPr>
      <w:r>
        <w:rPr>
          <w:rFonts w:ascii="仿宋_GB2312" w:hAnsi="仿宋_GB2312" w:cs="仿宋_GB2312" w:eastAsia="仿宋_GB2312"/>
        </w:rPr>
        <w:t>4、财务状况报告：供应商提供2022年至今任意一年的财务审计报告(成立时间至提交响应文件截止时 间不足年的可提供成立后任意时段的资产负债表)，或其基本存款账户开户银行出 具的资信或资金证明(复印件加盖供应商公章)；</w:t>
      </w:r>
    </w:p>
    <w:p>
      <w:pPr>
        <w:pStyle w:val="null3"/>
      </w:pPr>
      <w:r>
        <w:rPr>
          <w:rFonts w:ascii="仿宋_GB2312" w:hAnsi="仿宋_GB2312" w:cs="仿宋_GB2312" w:eastAsia="仿宋_GB2312"/>
        </w:rPr>
        <w:t>5、履行能力：具有履行合同所必需的设备和专业技术能力，提供证明材料或书面承诺并加盖公章；</w:t>
      </w:r>
    </w:p>
    <w:p>
      <w:pPr>
        <w:pStyle w:val="null3"/>
      </w:pPr>
      <w:r>
        <w:rPr>
          <w:rFonts w:ascii="仿宋_GB2312" w:hAnsi="仿宋_GB2312" w:cs="仿宋_GB2312" w:eastAsia="仿宋_GB2312"/>
        </w:rPr>
        <w:t>6、无重大违法记录声明：参加政府采购活动近三年内，在经营活动中没有重大违法记录，提供书面声明；</w:t>
      </w:r>
    </w:p>
    <w:p>
      <w:pPr>
        <w:pStyle w:val="null3"/>
      </w:pPr>
      <w:r>
        <w:rPr>
          <w:rFonts w:ascii="仿宋_GB2312" w:hAnsi="仿宋_GB2312" w:cs="仿宋_GB2312" w:eastAsia="仿宋_GB2312"/>
        </w:rPr>
        <w:t>7、税收缴纳证明：提供响应文件递交截止时间前6个月内任意1个月已缴纳完税凭证（任意税种）或 税务机关开具的完税证明（任意税种），依法免税的单位应提供相关证明材料；</w:t>
      </w:r>
    </w:p>
    <w:p>
      <w:pPr>
        <w:pStyle w:val="null3"/>
      </w:pPr>
      <w:r>
        <w:rPr>
          <w:rFonts w:ascii="仿宋_GB2312" w:hAnsi="仿宋_GB2312" w:cs="仿宋_GB2312" w:eastAsia="仿宋_GB2312"/>
        </w:rPr>
        <w:t>8、社会保障资金缴纳证明：提供响应文件递交截止时间前6个月内任意1个月已缴存的任意时段的社会保障资 金缴存单据或社保机构开具的社会保险参保缴费情况证明，依法不需要缴纳社会保障资金的单位应提供相关证明材料；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铜川市退耕还林工程办公室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铜川市退耕还林工程办公室经办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0919-3185827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陕西省铜川市王益区七一路25号工行3楼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铜川市退耕还林工程办公室</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铜川市退耕还林工程办公室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铜川市退耕还林工程办公室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合同约定内容均已完成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地址：陕西省铜川市王益区七一路25号工行3楼313室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陕西省铜川市防火应急道路建设项目在耀州区、印台区、宜君县新建改扩建林区四级防火道路110.9公里，配套建设路基路面工程、桥涵工程、排水工程及工程等。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764,700.00</w:t>
      </w:r>
    </w:p>
    <w:p>
      <w:pPr>
        <w:pStyle w:val="null3"/>
      </w:pPr>
      <w:r>
        <w:rPr>
          <w:rFonts w:ascii="仿宋_GB2312" w:hAnsi="仿宋_GB2312" w:cs="仿宋_GB2312" w:eastAsia="仿宋_GB2312"/>
        </w:rPr>
        <w:t>采购包最高限价（元）: 764,700.00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764700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764,700.00</w:t>
            </w:r>
          </w:p>
        </w:tc>
        <w:tc>
          <w:tcPr>
            <w:tcW w:type="dxa" w:w="831"/>
          </w:tcPr>
          <w:p>
            <w:pPr>
              <w:pStyle w:val="null3"/>
            </w:pPr>
            <w:r>
              <w:rPr>
                <w:rFonts w:ascii="仿宋_GB2312" w:hAnsi="仿宋_GB2312" w:cs="仿宋_GB2312" w:eastAsia="仿宋_GB2312"/>
              </w:rPr>
              <w:t>项目</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标的名称：764700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8"/>
              </w:rPr>
              <w:t>一、项目概况</w:t>
            </w:r>
          </w:p>
          <w:p>
            <w:pPr>
              <w:pStyle w:val="null3"/>
              <w:ind w:firstLine="420"/>
              <w:jc w:val="both"/>
            </w:pPr>
            <w:r>
              <w:rPr>
                <w:rFonts w:ascii="仿宋_GB2312" w:hAnsi="仿宋_GB2312" w:cs="仿宋_GB2312" w:eastAsia="仿宋_GB2312"/>
                <w:sz w:val="28"/>
              </w:rPr>
              <w:t>陕西省铜川市防火应急道路建设项目在耀州区、印台区、宜君县新建改扩建林区四级防火道路</w:t>
            </w:r>
            <w:r>
              <w:rPr>
                <w:rFonts w:ascii="仿宋_GB2312" w:hAnsi="仿宋_GB2312" w:cs="仿宋_GB2312" w:eastAsia="仿宋_GB2312"/>
                <w:sz w:val="28"/>
              </w:rPr>
              <w:t>110.9公里，配套建设路基路面工程、桥涵工程、排水工程及工程等。</w:t>
            </w:r>
          </w:p>
          <w:p>
            <w:pPr>
              <w:pStyle w:val="null3"/>
              <w:ind w:firstLine="420"/>
              <w:jc w:val="both"/>
            </w:pPr>
            <w:r>
              <w:rPr>
                <w:rFonts w:ascii="仿宋_GB2312" w:hAnsi="仿宋_GB2312" w:cs="仿宋_GB2312" w:eastAsia="仿宋_GB2312"/>
                <w:sz w:val="28"/>
              </w:rPr>
              <w:t>二、服务内容</w:t>
            </w:r>
          </w:p>
          <w:p>
            <w:pPr>
              <w:pStyle w:val="null3"/>
              <w:ind w:firstLine="420"/>
              <w:jc w:val="both"/>
            </w:pPr>
            <w:r>
              <w:rPr>
                <w:rFonts w:ascii="仿宋_GB2312" w:hAnsi="仿宋_GB2312" w:cs="仿宋_GB2312" w:eastAsia="仿宋_GB2312"/>
                <w:sz w:val="28"/>
              </w:rPr>
              <w:t>项目的全过程管理，具体包括建设前期报批报建（包括项目初步设计、规划、土地、水保、稳评、环评等）、检测评估、勘察、设计、按照发改委批准及甲方确定的设计方案及施工图纸执行的施工管理、采购管理；施工、采购的招标管理；竣工验收和竣工结算审核管理等。并对工程项目进行质量、安全、进度、合同、信息等管理和控制，直至办理竣工决算移交等全过程的建设管理。</w:t>
            </w:r>
          </w:p>
          <w:p>
            <w:pPr>
              <w:pStyle w:val="null3"/>
              <w:ind w:firstLine="420"/>
              <w:jc w:val="both"/>
            </w:pPr>
            <w:r>
              <w:rPr>
                <w:rFonts w:ascii="仿宋_GB2312" w:hAnsi="仿宋_GB2312" w:cs="仿宋_GB2312" w:eastAsia="仿宋_GB2312"/>
                <w:sz w:val="28"/>
              </w:rPr>
              <w:t>三、服务期限</w:t>
            </w:r>
          </w:p>
          <w:p>
            <w:pPr>
              <w:pStyle w:val="null3"/>
              <w:ind w:firstLine="420"/>
              <w:jc w:val="both"/>
            </w:pPr>
            <w:r>
              <w:rPr>
                <w:rFonts w:ascii="仿宋_GB2312" w:hAnsi="仿宋_GB2312" w:cs="仿宋_GB2312" w:eastAsia="仿宋_GB2312"/>
                <w:sz w:val="28"/>
              </w:rPr>
              <w:t>合同签订之日起至项目</w:t>
            </w:r>
            <w:r>
              <w:rPr>
                <w:rFonts w:ascii="仿宋_GB2312" w:hAnsi="仿宋_GB2312" w:cs="仿宋_GB2312" w:eastAsia="仿宋_GB2312"/>
                <w:sz w:val="28"/>
              </w:rPr>
              <w:t>工程</w:t>
            </w:r>
            <w:r>
              <w:rPr>
                <w:rFonts w:ascii="仿宋_GB2312" w:hAnsi="仿宋_GB2312" w:cs="仿宋_GB2312" w:eastAsia="仿宋_GB2312"/>
                <w:sz w:val="28"/>
              </w:rPr>
              <w:t>结算</w:t>
            </w:r>
            <w:r>
              <w:rPr>
                <w:rFonts w:ascii="仿宋_GB2312" w:hAnsi="仿宋_GB2312" w:cs="仿宋_GB2312" w:eastAsia="仿宋_GB2312"/>
                <w:sz w:val="28"/>
              </w:rPr>
              <w:t>移交</w:t>
            </w:r>
            <w:r>
              <w:rPr>
                <w:rFonts w:ascii="仿宋_GB2312" w:hAnsi="仿宋_GB2312" w:cs="仿宋_GB2312" w:eastAsia="仿宋_GB2312"/>
                <w:sz w:val="28"/>
              </w:rPr>
              <w:t>之日止的全过程代建服务</w:t>
            </w:r>
          </w:p>
          <w:p>
            <w:pPr>
              <w:pStyle w:val="null3"/>
              <w:ind w:firstLine="420"/>
              <w:jc w:val="both"/>
            </w:pPr>
            <w:r>
              <w:rPr>
                <w:rFonts w:ascii="仿宋_GB2312" w:hAnsi="仿宋_GB2312" w:cs="仿宋_GB2312" w:eastAsia="仿宋_GB2312"/>
                <w:sz w:val="28"/>
              </w:rPr>
              <w:t>四、服务标准</w:t>
            </w:r>
          </w:p>
          <w:p>
            <w:pPr>
              <w:pStyle w:val="null3"/>
              <w:ind w:firstLine="420"/>
              <w:jc w:val="both"/>
            </w:pPr>
            <w:r>
              <w:rPr>
                <w:rFonts w:ascii="仿宋_GB2312" w:hAnsi="仿宋_GB2312" w:cs="仿宋_GB2312" w:eastAsia="仿宋_GB2312"/>
                <w:sz w:val="28"/>
              </w:rPr>
              <w:t>1、项目建设过程中严格执行国家、省、市规定的标准、政策和现行技术规范、规程要求。</w:t>
            </w:r>
          </w:p>
          <w:p>
            <w:pPr>
              <w:pStyle w:val="null3"/>
              <w:ind w:firstLine="420"/>
              <w:jc w:val="both"/>
            </w:pPr>
            <w:r>
              <w:rPr>
                <w:rFonts w:ascii="仿宋_GB2312" w:hAnsi="仿宋_GB2312" w:cs="仿宋_GB2312" w:eastAsia="仿宋_GB2312"/>
                <w:sz w:val="28"/>
              </w:rPr>
              <w:t>2、保证工程进度、满足工程质量、安全生产、治污减霾等达标、制定工程进度、安全生产等管理应急预案，确保目标实现。</w:t>
            </w:r>
          </w:p>
          <w:p>
            <w:pPr>
              <w:pStyle w:val="null3"/>
              <w:ind w:firstLine="420"/>
              <w:jc w:val="both"/>
            </w:pPr>
            <w:r>
              <w:rPr>
                <w:rFonts w:ascii="仿宋_GB2312" w:hAnsi="仿宋_GB2312" w:cs="仿宋_GB2312" w:eastAsia="仿宋_GB2312"/>
                <w:sz w:val="28"/>
              </w:rPr>
              <w:t>3、在项目代建期，遵守国家有关法律、法规、维护采购人(建设单位)方的合法权益。严格按照政府关于工程建设的规定和制度履行职责，接受相关主管部门的监督，并承担相应的责任。</w:t>
            </w:r>
          </w:p>
          <w:p>
            <w:pPr>
              <w:pStyle w:val="null3"/>
              <w:ind w:firstLine="420"/>
              <w:jc w:val="both"/>
            </w:pPr>
            <w:r>
              <w:rPr>
                <w:rFonts w:ascii="仿宋_GB2312" w:hAnsi="仿宋_GB2312" w:cs="仿宋_GB2312" w:eastAsia="仿宋_GB2312"/>
                <w:sz w:val="28"/>
              </w:rPr>
              <w:t>五、服务要求</w:t>
            </w:r>
          </w:p>
          <w:p>
            <w:pPr>
              <w:pStyle w:val="null3"/>
              <w:ind w:firstLine="420"/>
              <w:jc w:val="both"/>
            </w:pPr>
            <w:r>
              <w:rPr>
                <w:rFonts w:ascii="仿宋_GB2312" w:hAnsi="仿宋_GB2312" w:cs="仿宋_GB2312" w:eastAsia="仿宋_GB2312"/>
                <w:sz w:val="28"/>
              </w:rPr>
              <w:t>1、标准责任目标</w:t>
            </w:r>
          </w:p>
          <w:p>
            <w:pPr>
              <w:pStyle w:val="null3"/>
              <w:ind w:firstLine="420"/>
              <w:jc w:val="both"/>
            </w:pPr>
            <w:r>
              <w:rPr>
                <w:rFonts w:ascii="仿宋_GB2312" w:hAnsi="仿宋_GB2312" w:cs="仿宋_GB2312" w:eastAsia="仿宋_GB2312"/>
                <w:sz w:val="28"/>
              </w:rPr>
              <w:t>严格控制工程建设的投资和标准，按照既定目标和标准完成建设项目。</w:t>
            </w:r>
          </w:p>
          <w:p>
            <w:pPr>
              <w:pStyle w:val="null3"/>
              <w:ind w:firstLine="420"/>
              <w:jc w:val="both"/>
            </w:pPr>
            <w:r>
              <w:rPr>
                <w:rFonts w:ascii="仿宋_GB2312" w:hAnsi="仿宋_GB2312" w:cs="仿宋_GB2312" w:eastAsia="仿宋_GB2312"/>
                <w:sz w:val="28"/>
              </w:rPr>
              <w:t>2、建设工期责任目标</w:t>
            </w:r>
          </w:p>
          <w:p>
            <w:pPr>
              <w:pStyle w:val="null3"/>
              <w:ind w:firstLine="420"/>
              <w:jc w:val="both"/>
            </w:pPr>
            <w:r>
              <w:rPr>
                <w:rFonts w:ascii="仿宋_GB2312" w:hAnsi="仿宋_GB2312" w:cs="仿宋_GB2312" w:eastAsia="仿宋_GB2312"/>
                <w:sz w:val="28"/>
              </w:rPr>
              <w:t>建设工期严格控制在建设合同工期内</w:t>
            </w:r>
          </w:p>
          <w:p>
            <w:pPr>
              <w:pStyle w:val="null3"/>
              <w:ind w:firstLine="420"/>
              <w:jc w:val="both"/>
            </w:pPr>
            <w:r>
              <w:rPr>
                <w:rFonts w:ascii="仿宋_GB2312" w:hAnsi="仿宋_GB2312" w:cs="仿宋_GB2312" w:eastAsia="仿宋_GB2312"/>
                <w:sz w:val="28"/>
              </w:rPr>
              <w:t>3、工程质量责任目标</w:t>
            </w:r>
          </w:p>
          <w:p>
            <w:pPr>
              <w:pStyle w:val="null3"/>
              <w:ind w:firstLine="420"/>
              <w:jc w:val="both"/>
            </w:pPr>
            <w:r>
              <w:rPr>
                <w:rFonts w:ascii="仿宋_GB2312" w:hAnsi="仿宋_GB2312" w:cs="仿宋_GB2312" w:eastAsia="仿宋_GB2312"/>
                <w:sz w:val="28"/>
              </w:rPr>
              <w:t>按国家有关规定、规范组织建设，工程质量达到规定的工程施工质量验收标准和检验评定标准；</w:t>
            </w:r>
          </w:p>
          <w:p>
            <w:pPr>
              <w:pStyle w:val="null3"/>
              <w:ind w:firstLine="420"/>
              <w:jc w:val="both"/>
            </w:pPr>
            <w:r>
              <w:rPr>
                <w:rFonts w:ascii="仿宋_GB2312" w:hAnsi="仿宋_GB2312" w:cs="仿宋_GB2312" w:eastAsia="仿宋_GB2312"/>
                <w:sz w:val="28"/>
              </w:rPr>
              <w:t>4、建设安全责任目标</w:t>
            </w:r>
          </w:p>
          <w:p>
            <w:pPr>
              <w:pStyle w:val="null3"/>
              <w:ind w:firstLine="420"/>
              <w:jc w:val="both"/>
            </w:pPr>
            <w:r>
              <w:rPr>
                <w:rFonts w:ascii="仿宋_GB2312" w:hAnsi="仿宋_GB2312" w:cs="仿宋_GB2312" w:eastAsia="仿宋_GB2312"/>
                <w:sz w:val="28"/>
              </w:rPr>
              <w:t>(1)建设工程无安全责任事故，成交供应商严格监督工程建设各方严格落实工程安全管理制度；</w:t>
            </w:r>
          </w:p>
          <w:p>
            <w:pPr>
              <w:pStyle w:val="null3"/>
              <w:ind w:firstLine="420"/>
              <w:jc w:val="both"/>
            </w:pPr>
            <w:r>
              <w:rPr>
                <w:rFonts w:ascii="仿宋_GB2312" w:hAnsi="仿宋_GB2312" w:cs="仿宋_GB2312" w:eastAsia="仿宋_GB2312"/>
                <w:sz w:val="28"/>
              </w:rPr>
              <w:t>(2)督促各方严格执行《安全生产法》、《建设工程安全产管理条例》和其他有关安全生产的法规，以及保障安全生产的有关规章、规定和标准，加强建设项目安全管理，监督检查承包人落实安全生产措施。</w:t>
            </w:r>
          </w:p>
          <w:p>
            <w:pPr>
              <w:pStyle w:val="null3"/>
              <w:ind w:firstLine="420"/>
              <w:jc w:val="both"/>
            </w:pPr>
            <w:r>
              <w:rPr>
                <w:rFonts w:ascii="仿宋_GB2312" w:hAnsi="仿宋_GB2312" w:cs="仿宋_GB2312" w:eastAsia="仿宋_GB2312"/>
                <w:sz w:val="28"/>
              </w:rPr>
              <w:t>5、建设行为责任目标</w:t>
            </w:r>
          </w:p>
          <w:p>
            <w:pPr>
              <w:pStyle w:val="null3"/>
              <w:ind w:firstLine="420"/>
              <w:jc w:val="both"/>
            </w:pPr>
            <w:r>
              <w:rPr>
                <w:rFonts w:ascii="仿宋_GB2312" w:hAnsi="仿宋_GB2312" w:cs="仿宋_GB2312" w:eastAsia="仿宋_GB2312"/>
                <w:sz w:val="28"/>
              </w:rPr>
              <w:t>(1)遵守国家关于市场准入、项目招标投标、工程建设、工程监理和市场活动等有关法律、法规及相关政策；严格执行建设工程合同、协议文件，自觉按合同办事；各项业务坚持公开、公正、诚信的原则，不得违反工程建设管理、施工安装、工程监理、 建设管理等规章制度。</w:t>
            </w:r>
          </w:p>
          <w:p>
            <w:pPr>
              <w:pStyle w:val="null3"/>
              <w:jc w:val="both"/>
            </w:pPr>
            <w:r>
              <w:rPr>
                <w:rFonts w:ascii="仿宋_GB2312" w:hAnsi="仿宋_GB2312" w:cs="仿宋_GB2312" w:eastAsia="仿宋_GB2312"/>
                <w:sz w:val="28"/>
              </w:rPr>
              <w:t>(2)建设管理全过程公开透明，杜绝暗箱操作，建设廉洁、优质、高效工程，预防腐败， 杜绝各类违法、违纪行为发生，加强项目管理和廉政建设，严格执行财务管理有关规定，做好建设项目协调工作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根据项目实施内容配置相应的人员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根据项目实施内容配置相应的设施设备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合同签订之日起至项目工程结算移交之日止的全过程代建服务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施工进度达到60%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项目竣工验收结算后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未按合同或竞争性磋商文件要求提供服务质量不能满足采购人技术要求，采购人有权终止合同，并对供应商违约行为进行追究。具体违约情况及解决方法以实际签订合同为准。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竞争性磋商响应文件，同时，于开标前线下提交竞争性磋商响应文件纸质版至陕西省铜川市新区铁诺南路6号（铜川市国有资本投资运营有限公司）院内1楼102室，响应文件正本一份，副本一份，电子U盘一份。竞争性磋商响应文件纸质版正本、副本与电子版一同密封，且在封袋正面标明“竞争性磋商响应文件纸质版”字样。封袋应加贴封条，并在封线处加盖供应商公章，封袋正面要粘贴供应商全称、项目名称、编号等标识。若电子竞争性磋商响应文件与纸质竞争性磋商响应文件不一致的，以电子竞争性磋商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法人身份证明或授权委托：法定代表人参加磋商须出具法定代表人身份证明（并附有效证件），被授权代理人参加磋商须出具法定代表人授权书及被授权人有效证件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 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 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应满足磋商文件格式要求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其他说明.docx 响应文件封面 法定代表人身份证明书.docx 供应商应提交的相关资格证明材料.docx 残疾人福利性单位声明函 陕西省政府采购拒绝贿赂承诺书.docx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各供应商响应文件所报的报价金额必须是唯一报价，不得出现其他金额报价，否则按无效报价对待，其余指标不再评审</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管理目标</w:t>
            </w:r>
          </w:p>
        </w:tc>
        <w:tc>
          <w:tcPr>
            <w:tcW w:type="dxa" w:w="2492"/>
          </w:tcPr>
          <w:p>
            <w:pPr>
              <w:pStyle w:val="null3"/>
            </w:pPr>
            <w:r>
              <w:rPr>
                <w:rFonts w:ascii="仿宋_GB2312" w:hAnsi="仿宋_GB2312" w:cs="仿宋_GB2312" w:eastAsia="仿宋_GB2312"/>
              </w:rPr>
              <w:t>代建管理目标清晰明确、范围全面、内容完整。结合采购人实际情况，突出体现工程特点，能满足项目采购需求得10分；评审内容有缺陷不满足采购需求的扣0.1-5分。未提供方案不得分。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投资成本管理</w:t>
            </w:r>
          </w:p>
        </w:tc>
        <w:tc>
          <w:tcPr>
            <w:tcW w:type="dxa" w:w="2492"/>
          </w:tcPr>
          <w:p>
            <w:pPr>
              <w:pStyle w:val="null3"/>
            </w:pPr>
            <w:r>
              <w:rPr>
                <w:rFonts w:ascii="仿宋_GB2312" w:hAnsi="仿宋_GB2312" w:cs="仿宋_GB2312" w:eastAsia="仿宋_GB2312"/>
              </w:rPr>
              <w:t>投资与成本控制，针对各阶段具有切实承诺、可靠的成本控制措施，成本控制方法，能满足项目采购需求得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进度管理措施</w:t>
            </w:r>
          </w:p>
        </w:tc>
        <w:tc>
          <w:tcPr>
            <w:tcW w:type="dxa" w:w="2492"/>
          </w:tcPr>
          <w:p>
            <w:pPr>
              <w:pStyle w:val="null3"/>
            </w:pPr>
            <w:r>
              <w:rPr>
                <w:rFonts w:ascii="仿宋_GB2312" w:hAnsi="仿宋_GB2312" w:cs="仿宋_GB2312" w:eastAsia="仿宋_GB2312"/>
              </w:rPr>
              <w:t>项目进度计划安排，视项目的具体特点制定行之有效的工期管理、缩短工期措施，计划进度安排合理、工期管理目标明确，能满足项目采购需求得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项目质量管理严格按照强制性规范、具有保证质量的行之有效的措施，能满足项目采购需求得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确保安全管理、环保及职业健康管理，严格按照工程特点，制定相应措施，能满足项目采购需求得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组织协调管理措施</w:t>
            </w:r>
          </w:p>
        </w:tc>
        <w:tc>
          <w:tcPr>
            <w:tcW w:type="dxa" w:w="2492"/>
          </w:tcPr>
          <w:p>
            <w:pPr>
              <w:pStyle w:val="null3"/>
            </w:pPr>
            <w:r>
              <w:rPr>
                <w:rFonts w:ascii="仿宋_GB2312" w:hAnsi="仿宋_GB2312" w:cs="仿宋_GB2312" w:eastAsia="仿宋_GB2312"/>
              </w:rPr>
              <w:t>信息管理与沟通协调，有全面的信息管理措施、具有有效的沟通管理机制 保证项目沟通及信息传递顺畅，能满足项目采购需求得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风险管理</w:t>
            </w:r>
          </w:p>
        </w:tc>
        <w:tc>
          <w:tcPr>
            <w:tcW w:type="dxa" w:w="2492"/>
          </w:tcPr>
          <w:p>
            <w:pPr>
              <w:pStyle w:val="null3"/>
            </w:pPr>
            <w:r>
              <w:rPr>
                <w:rFonts w:ascii="仿宋_GB2312" w:hAnsi="仿宋_GB2312" w:cs="仿宋_GB2312" w:eastAsia="仿宋_GB2312"/>
              </w:rPr>
              <w:t>有详细清晰的全过程风险管理计划及风险管理实施程序，能满足项目采购需求得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质量承诺、人员到位、后期服务等方面，承诺内容完善，对所要求内容描述详尽。服务计划及承诺完整可行，保证措施有力，能满足项目采购需求得5分，评审内容有缺陷不满足采购需求的扣0.1-3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项目验收</w:t>
            </w:r>
          </w:p>
        </w:tc>
        <w:tc>
          <w:tcPr>
            <w:tcW w:type="dxa" w:w="2492"/>
          </w:tcPr>
          <w:p>
            <w:pPr>
              <w:pStyle w:val="null3"/>
            </w:pPr>
            <w:r>
              <w:rPr>
                <w:rFonts w:ascii="仿宋_GB2312" w:hAnsi="仿宋_GB2312" w:cs="仿宋_GB2312" w:eastAsia="仿宋_GB2312"/>
              </w:rPr>
              <w:t>验收配合及移交方案，竣工验收计划全面且程序完善，移交方案完备，能满足项目采购需求得5分；评审内容有缺陷不满足采购需求的扣0.1-3分。未提供方案不得分。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供应商提供近五年（2020年7月1日至今）类似项目业绩，每个业绩2分，满分10分。以合同签订时间或中标（成交）通知书时间为准。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1.经资格及符合性审查合格的磋商响应文件，其磋商报价为有效磋商报价。 2.满足竞争性磋商文件实质性要求且最后报价最低的供应商的价格为磋商基准价，其价格分为满分10分。 3.磋商报价得分=（磋商基准价/磋商评审价）×10的公式计算得分。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详见附件：陕西省政府采购拒绝贿赂承诺书.docx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