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版本号：JZDCG-2025-029.1B120250729001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中医协同旗舰科室诊疗信息系统超融合优化扩容项目(二次)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JZDCG-2025-029.1B1</w:t>
      </w:r>
      <w:r>
        <w:br/>
      </w:r>
      <w:r>
        <w:br/>
      </w:r>
      <w:r>
        <w:br/>
      </w:r>
    </w:p>
    <w:p>
      <w:pPr>
        <w:pStyle w:val="null3"/>
        <w:jc w:val="center"/>
        <w:outlineLvl w:val="2"/>
      </w:pPr>
      <w:r>
        <w:rPr>
          <w:rFonts w:ascii="仿宋_GB2312" w:hAnsi="仿宋_GB2312" w:cs="仿宋_GB2312" w:eastAsia="仿宋_GB2312"/>
          <w:sz w:val="28"/>
          <w:b/>
        </w:rPr>
        <w:t>铜川市人民医院</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铜川市人民医院</w:t>
      </w:r>
      <w:r>
        <w:rPr>
          <w:rFonts w:ascii="仿宋_GB2312" w:hAnsi="仿宋_GB2312" w:cs="仿宋_GB2312" w:eastAsia="仿宋_GB2312"/>
        </w:rPr>
        <w:t>委托，拟对</w:t>
      </w:r>
      <w:r>
        <w:rPr>
          <w:rFonts w:ascii="仿宋_GB2312" w:hAnsi="仿宋_GB2312" w:cs="仿宋_GB2312" w:eastAsia="仿宋_GB2312"/>
        </w:rPr>
        <w:t>中医协同旗舰科室诊疗信息系统超融合优化扩容项目(二次)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JZDCG-2025-029.1B1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中医协同旗舰科室诊疗信息系统超融合优化扩容项目(二次)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医疗行业的快速发展以及人们对医疗服务质量要求的不断提高，中西医协同诊疗模式逐渐成为提升医疗服务水平的重要途径。国家积极推动中医协同旗舰科室建设项目，旨在通过加强中西医结合相关学科建设，组建临床研究平台和多学科团队，开展中西医联合攻关，促进中西医医疗资源有效整合和诊疗技术优势互补 。为了更好地适应中西医协同诊疗业务的发展，提升医疗信息化水平，提高医疗服务效率和质量，我院决定启动中医协同旗舰科室诊疗信息系统超融合优化扩容项目。具体服务内容见采购需求。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01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3、税收缴纳证明：自2025年01月01日以来已缴存的至少一个月的纳税证明或完税证明，纳税证明或完税证明上应有代收机构或税务机关的公章或业务专用章。依法免税的投标人应提供相关文件证明；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失信主体，不得为“中国政府采购网”（www.ccgp.gov.cn）政府采购严重违法失信行为记录名单中禁止参加政府采购活动的投标人；</w:t>
      </w:r>
    </w:p>
    <w:p>
      <w:pPr>
        <w:pStyle w:val="null3"/>
      </w:pPr>
      <w:r>
        <w:rPr>
          <w:rFonts w:ascii="仿宋_GB2312" w:hAnsi="仿宋_GB2312" w:cs="仿宋_GB2312" w:eastAsia="仿宋_GB2312"/>
        </w:rPr>
        <w:t>5、法定代表人授权委托书：须提供法定代表人授权书(附法定代表人、被授权人身份证复印件)；法定代表人直接参加磋商，须提供法定代表人身份证明文件；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铜川市新区鸿基路西段铜川市人民医院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18091915927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说明：签订合同1年后无息返还履约保证金。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国家发展和改革委员会办公厅关于招标代理服务收费有关问题的通知》（发改办价格〔2003〕857号）文件计取； （2）代理服务费的交纳方式：由成交供应商在领取成交通知书前向采购代理机构一次性支付；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铜川市人民医院</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地址：陕西省西安市高新区科技五路北侧橡树星座1幢 20902室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医疗行业的快速发展以及人们对医疗服务质量要求的不断提高，中西医协同诊疗模式逐渐成为提升医疗服务水平的重要途径。国家积极推动中医协同旗舰科室建设项目，旨在通过加强中西医结合相关学科建设，组建临床研究平台和多学科团队，开展中西医联合攻关，促进中西医医疗资源有效整合和诊疗技术优势互补 。为了更好地适应中西医协同诊疗业务的发展，提升医疗信息化水平，提高医疗服务效率和质量，我院决定启动中医协同旗舰科室诊疗信息系统超融合优化扩容项目。具体服务内容见采购需求。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1,436,000.00</w:t>
      </w:r>
    </w:p>
    <w:p>
      <w:pPr>
        <w:pStyle w:val="null3"/>
      </w:pPr>
      <w:r>
        <w:rPr>
          <w:rFonts w:ascii="仿宋_GB2312" w:hAnsi="仿宋_GB2312" w:cs="仿宋_GB2312" w:eastAsia="仿宋_GB2312"/>
        </w:rPr>
        <w:t>采购包最高限价（元）: 1,436,000.00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中医协同旗舰科室诊疗信息系统超融合优化扩容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标的名称：中医协同旗舰科室诊疗信息系统超融合优化扩容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一、服务内容及要求</w:t>
            </w:r>
          </w:p>
          <w:p>
            <w:pPr>
              <w:pStyle w:val="null3"/>
              <w:jc w:val="both"/>
            </w:pPr>
            <w:r>
              <w:rPr>
                <w:rFonts w:ascii="仿宋_GB2312" w:hAnsi="仿宋_GB2312" w:cs="仿宋_GB2312" w:eastAsia="仿宋_GB2312"/>
                <w:b/>
              </w:rPr>
              <w:t>（一）中医药信息化平台超融合系统</w:t>
            </w:r>
          </w:p>
          <w:p>
            <w:pPr>
              <w:pStyle w:val="null3"/>
            </w:pPr>
            <w:r>
              <w:rPr>
                <w:rFonts w:ascii="仿宋_GB2312" w:hAnsi="仿宋_GB2312" w:cs="仿宋_GB2312" w:eastAsia="仿宋_GB2312"/>
              </w:rPr>
              <w:t>1.超融合一体机服务</w:t>
            </w:r>
          </w:p>
          <w:p>
            <w:pPr>
              <w:pStyle w:val="null3"/>
            </w:pPr>
            <w:r>
              <w:rPr>
                <w:rFonts w:ascii="仿宋_GB2312" w:hAnsi="仿宋_GB2312" w:cs="仿宋_GB2312" w:eastAsia="仿宋_GB2312"/>
              </w:rPr>
              <w:t>（1）超融合一体机4台；</w:t>
            </w:r>
          </w:p>
          <w:p>
            <w:pPr>
              <w:pStyle w:val="null3"/>
            </w:pPr>
            <w:r>
              <w:rPr>
                <w:rFonts w:ascii="仿宋_GB2312" w:hAnsi="仿宋_GB2312" w:cs="仿宋_GB2312" w:eastAsia="仿宋_GB2312"/>
              </w:rPr>
              <w:t>（2）基本要求：单节点规格要求2U2路标准机架式；</w:t>
            </w:r>
          </w:p>
          <w:p>
            <w:pPr>
              <w:pStyle w:val="null3"/>
            </w:pPr>
            <w:r>
              <w:rPr>
                <w:rFonts w:ascii="仿宋_GB2312" w:hAnsi="仿宋_GB2312" w:cs="仿宋_GB2312" w:eastAsia="仿宋_GB2312"/>
              </w:rPr>
              <w:t>▲（3）处理器性能不低于：2颗处理器，每颗处理器要求（核数16核，线程32线程，主频2.8GHz，三级缓存37.5MB）；</w:t>
            </w:r>
          </w:p>
          <w:p>
            <w:pPr>
              <w:pStyle w:val="null3"/>
            </w:pPr>
            <w:r>
              <w:rPr>
                <w:rFonts w:ascii="仿宋_GB2312" w:hAnsi="仿宋_GB2312" w:cs="仿宋_GB2312" w:eastAsia="仿宋_GB2312"/>
              </w:rPr>
              <w:t>（4）内存：配置≥512GB  DDR5内存；</w:t>
            </w:r>
          </w:p>
          <w:p>
            <w:pPr>
              <w:pStyle w:val="null3"/>
            </w:pPr>
            <w:r>
              <w:rPr>
                <w:rFonts w:ascii="仿宋_GB2312" w:hAnsi="仿宋_GB2312" w:cs="仿宋_GB2312" w:eastAsia="仿宋_GB2312"/>
              </w:rPr>
              <w:t>（5）内存最大支持32个DDR5内存槽位</w:t>
            </w:r>
          </w:p>
          <w:p>
            <w:pPr>
              <w:pStyle w:val="null3"/>
            </w:pPr>
            <w:r>
              <w:rPr>
                <w:rFonts w:ascii="仿宋_GB2312" w:hAnsi="仿宋_GB2312" w:cs="仿宋_GB2312" w:eastAsia="仿宋_GB2312"/>
              </w:rPr>
              <w:t>（6）内存速率最高支持5600MT/s；</w:t>
            </w:r>
          </w:p>
          <w:p>
            <w:pPr>
              <w:pStyle w:val="null3"/>
            </w:pPr>
            <w:r>
              <w:rPr>
                <w:rFonts w:ascii="仿宋_GB2312" w:hAnsi="仿宋_GB2312" w:cs="仿宋_GB2312" w:eastAsia="仿宋_GB2312"/>
              </w:rPr>
              <w:t>▲（7）硬盘：配置≥2块960GB SATA SSD系统盘；≥8块7.68TB  NVMe SSD数据盘，支持多达32个NVMe U.2硬盘槽位；</w:t>
            </w:r>
          </w:p>
          <w:p>
            <w:pPr>
              <w:pStyle w:val="null3"/>
            </w:pPr>
            <w:r>
              <w:rPr>
                <w:rFonts w:ascii="仿宋_GB2312" w:hAnsi="仿宋_GB2312" w:cs="仿宋_GB2312" w:eastAsia="仿宋_GB2312"/>
              </w:rPr>
              <w:t>▲（8）阵列控制器：配置≥1块12Gb SAS RAID卡（支持8个SAS口，4G缓存），支持 RAID0/1/10/5；</w:t>
            </w:r>
          </w:p>
          <w:p>
            <w:pPr>
              <w:pStyle w:val="null3"/>
            </w:pPr>
            <w:r>
              <w:rPr>
                <w:rFonts w:ascii="仿宋_GB2312" w:hAnsi="仿宋_GB2312" w:cs="仿宋_GB2312" w:eastAsia="仿宋_GB2312"/>
              </w:rPr>
              <w:t>（9）PCIe槽位：支持Full-OCP架构，可支持≥8个OCP3.0槽位，可支持热插拔功能；</w:t>
            </w:r>
          </w:p>
          <w:p>
            <w:pPr>
              <w:pStyle w:val="null3"/>
            </w:pPr>
            <w:r>
              <w:rPr>
                <w:rFonts w:ascii="仿宋_GB2312" w:hAnsi="仿宋_GB2312" w:cs="仿宋_GB2312" w:eastAsia="仿宋_GB2312"/>
              </w:rPr>
              <w:t>（10）网络：外部业务交换端口≥4个GE接口，内外网存储端口≥6个万兆光口（满配多模光模块），板载1个1Gbps专用管理网口，支持1/10/25/100/200GE网卡；</w:t>
            </w:r>
          </w:p>
          <w:p>
            <w:pPr>
              <w:pStyle w:val="null3"/>
            </w:pPr>
            <w:r>
              <w:rPr>
                <w:rFonts w:ascii="仿宋_GB2312" w:hAnsi="仿宋_GB2312" w:cs="仿宋_GB2312" w:eastAsia="仿宋_GB2312"/>
              </w:rPr>
              <w:t>（11）接口：配置≥1个后置VGA，≥4个USB接口；</w:t>
            </w:r>
          </w:p>
          <w:p>
            <w:pPr>
              <w:pStyle w:val="null3"/>
            </w:pPr>
            <w:r>
              <w:rPr>
                <w:rFonts w:ascii="仿宋_GB2312" w:hAnsi="仿宋_GB2312" w:cs="仿宋_GB2312" w:eastAsia="仿宋_GB2312"/>
              </w:rPr>
              <w:t>（12）风扇：配置≥4个风扇模块，支持热插拔冗余风扇；</w:t>
            </w:r>
          </w:p>
          <w:p>
            <w:pPr>
              <w:pStyle w:val="null3"/>
            </w:pPr>
            <w:r>
              <w:rPr>
                <w:rFonts w:ascii="仿宋_GB2312" w:hAnsi="仿宋_GB2312" w:cs="仿宋_GB2312" w:eastAsia="仿宋_GB2312"/>
              </w:rPr>
              <w:t>（13）电源：配置≥2个1300W热插拔电源，支持1+1冗余</w:t>
            </w:r>
          </w:p>
          <w:p>
            <w:pPr>
              <w:pStyle w:val="null3"/>
            </w:pPr>
            <w:r>
              <w:rPr>
                <w:rFonts w:ascii="仿宋_GB2312" w:hAnsi="仿宋_GB2312" w:cs="仿宋_GB2312" w:eastAsia="仿宋_GB2312"/>
              </w:rPr>
              <w:t>（14）管理：支持无代理管理工具(带独立管理端口)，支持LCD可触摸智能管理模块；</w:t>
            </w:r>
          </w:p>
          <w:p>
            <w:pPr>
              <w:pStyle w:val="null3"/>
            </w:pPr>
            <w:r>
              <w:rPr>
                <w:rFonts w:ascii="仿宋_GB2312" w:hAnsi="仿宋_GB2312" w:cs="仿宋_GB2312" w:eastAsia="仿宋_GB2312"/>
              </w:rPr>
              <w:t>（15）工作温度：5℃-45℃；</w:t>
            </w:r>
          </w:p>
          <w:p>
            <w:pPr>
              <w:pStyle w:val="null3"/>
            </w:pPr>
            <w:r>
              <w:rPr>
                <w:rFonts w:ascii="仿宋_GB2312" w:hAnsi="仿宋_GB2312" w:cs="仿宋_GB2312" w:eastAsia="仿宋_GB2312"/>
              </w:rPr>
              <w:t>（16）安全性：支持安全机箱，TCM/TPM安全模块；</w:t>
            </w:r>
          </w:p>
          <w:p>
            <w:pPr>
              <w:pStyle w:val="null3"/>
            </w:pPr>
            <w:r>
              <w:rPr>
                <w:rFonts w:ascii="仿宋_GB2312" w:hAnsi="仿宋_GB2312" w:cs="仿宋_GB2312" w:eastAsia="仿宋_GB2312"/>
              </w:rPr>
              <w:t>2.超融合管理平台服务</w:t>
            </w:r>
          </w:p>
          <w:p>
            <w:pPr>
              <w:pStyle w:val="null3"/>
            </w:pPr>
            <w:r>
              <w:rPr>
                <w:rFonts w:ascii="仿宋_GB2312" w:hAnsi="仿宋_GB2312" w:cs="仿宋_GB2312" w:eastAsia="仿宋_GB2312"/>
              </w:rPr>
              <w:t>（1）配置不低于8颗CPU授权许可；</w:t>
            </w:r>
          </w:p>
          <w:p>
            <w:pPr>
              <w:pStyle w:val="null3"/>
            </w:pPr>
            <w:r>
              <w:rPr>
                <w:rFonts w:ascii="仿宋_GB2312" w:hAnsi="仿宋_GB2312" w:cs="仿宋_GB2312" w:eastAsia="仿宋_GB2312"/>
              </w:rPr>
              <w:t>（2）每个超融合节点出厂自带管理软件，设备上电后可登录任意一台做超融合管理节点；</w:t>
            </w:r>
          </w:p>
          <w:p>
            <w:pPr>
              <w:pStyle w:val="null3"/>
            </w:pPr>
            <w:r>
              <w:rPr>
                <w:rFonts w:ascii="仿宋_GB2312" w:hAnsi="仿宋_GB2312" w:cs="仿宋_GB2312" w:eastAsia="仿宋_GB2312"/>
              </w:rPr>
              <w:t>（3）支持在通用的x86、arm架构服务器上安装超融合软件，支持主流的ARM平台，并且可以与原有的X86系统混合部署、统一管理；</w:t>
            </w:r>
          </w:p>
          <w:p>
            <w:pPr>
              <w:pStyle w:val="null3"/>
            </w:pPr>
            <w:r>
              <w:rPr>
                <w:rFonts w:ascii="仿宋_GB2312" w:hAnsi="仿宋_GB2312" w:cs="仿宋_GB2312" w:eastAsia="仿宋_GB2312"/>
              </w:rPr>
              <w:t>（4）新上线设备可基于链路层协议与管理节点交互，被管理节点自动发现，需配置IP地址以及主机名等信息；</w:t>
            </w:r>
          </w:p>
          <w:p>
            <w:pPr>
              <w:pStyle w:val="null3"/>
            </w:pPr>
            <w:r>
              <w:rPr>
                <w:rFonts w:ascii="仿宋_GB2312" w:hAnsi="仿宋_GB2312" w:cs="仿宋_GB2312" w:eastAsia="仿宋_GB2312"/>
              </w:rPr>
              <w:t>（5）在统一的超融合管理平台上即可实现对计算、存储、网络、安全等资源的统一管理运维，无需界面跳转即可实现全部操作；</w:t>
            </w:r>
          </w:p>
          <w:p>
            <w:pPr>
              <w:pStyle w:val="null3"/>
              <w:jc w:val="both"/>
            </w:pPr>
            <w:r>
              <w:rPr>
                <w:rFonts w:ascii="仿宋_GB2312" w:hAnsi="仿宋_GB2312" w:cs="仿宋_GB2312" w:eastAsia="仿宋_GB2312"/>
              </w:rPr>
              <w:t>▲（6）支持一键切换展示大屏功能，直观展示虚拟化资源池的健康度、告警、资源使用情况等，同时展示内容支持用户自定义，可定制的指标包括但不限于主机性能、虚拟机性能、共享存储性能、系统总体健康度、主机健康度、CPU分配比、内存分配比、存储分配比、系统告警、Top 5主机CPU和内存利用率、Top 5虚拟机CPU和内存利用率、主机和虚拟机状态统计等；</w:t>
            </w:r>
          </w:p>
          <w:p>
            <w:pPr>
              <w:pStyle w:val="null3"/>
            </w:pPr>
            <w:r>
              <w:rPr>
                <w:rFonts w:ascii="仿宋_GB2312" w:hAnsi="仿宋_GB2312" w:cs="仿宋_GB2312" w:eastAsia="仿宋_GB2312"/>
              </w:rPr>
              <w:t>（7）支持健康巡检功能，用于快速查看超融合系统健康情况。包括：总体健康状况、集群健康状况、存储健康状况、网络健康状况、告警信息状况和其它配置信息，可自定义检测项；</w:t>
            </w:r>
          </w:p>
          <w:p>
            <w:pPr>
              <w:pStyle w:val="null3"/>
            </w:pPr>
            <w:r>
              <w:rPr>
                <w:rFonts w:ascii="仿宋_GB2312" w:hAnsi="仿宋_GB2312" w:cs="仿宋_GB2312" w:eastAsia="仿宋_GB2312"/>
              </w:rPr>
              <w:t>▲（8）支持使用一键鼠标按钮分析虚拟机、主机历史资源使用情况，提供规划决策数据支撑；</w:t>
            </w:r>
          </w:p>
          <w:p>
            <w:pPr>
              <w:pStyle w:val="null3"/>
            </w:pPr>
            <w:r>
              <w:rPr>
                <w:rFonts w:ascii="仿宋_GB2312" w:hAnsi="仿宋_GB2312" w:cs="仿宋_GB2312" w:eastAsia="仿宋_GB2312"/>
              </w:rPr>
              <w:t>▲（9）支持使用一键鼠标按钮分析后端存储上的无效镜像文件，并提供一键清理和释放存储空间能力，提升资源利用率，保障投资；</w:t>
            </w:r>
          </w:p>
          <w:p>
            <w:pPr>
              <w:pStyle w:val="null3"/>
            </w:pPr>
            <w:r>
              <w:rPr>
                <w:rFonts w:ascii="仿宋_GB2312" w:hAnsi="仿宋_GB2312" w:cs="仿宋_GB2312" w:eastAsia="仿宋_GB2312"/>
              </w:rPr>
              <w:t>▲（10）支持使用一键鼠标按钮还原虚拟机到指定还原点状态，基于备份功能，虚机误删不影响还原功能，降低人为误操作带来的损失；</w:t>
            </w:r>
          </w:p>
          <w:p>
            <w:pPr>
              <w:pStyle w:val="null3"/>
            </w:pPr>
            <w:r>
              <w:rPr>
                <w:rFonts w:ascii="仿宋_GB2312" w:hAnsi="仿宋_GB2312" w:cs="仿宋_GB2312" w:eastAsia="仿宋_GB2312"/>
              </w:rPr>
              <w:t>▲（11）支持使用一键鼠标按钮快速查看、启动、删除、批量启动和批量删除长时间未使用且处于关闭状态的虚拟机，进行资源利用率统计，降低运维工作量与难度，保障投资；</w:t>
            </w:r>
          </w:p>
          <w:p>
            <w:pPr>
              <w:pStyle w:val="null3"/>
            </w:pPr>
            <w:r>
              <w:rPr>
                <w:rFonts w:ascii="仿宋_GB2312" w:hAnsi="仿宋_GB2312" w:cs="仿宋_GB2312" w:eastAsia="仿宋_GB2312"/>
              </w:rPr>
              <w:t>▲（12）超融合管理平台内置在线p2v、v2v迁移工具，支持主流的操作系统、公有云平台、虚拟化平台。包括但不限于VMware、华为、深信服、H3C等平台的迁移功能，提升被迁移业务平台的普适性、降低业务上云的难度，降低运维工作量；</w:t>
            </w:r>
          </w:p>
          <w:p>
            <w:pPr>
              <w:pStyle w:val="null3"/>
              <w:jc w:val="both"/>
            </w:pPr>
            <w:r>
              <w:rPr>
                <w:rFonts w:ascii="仿宋_GB2312" w:hAnsi="仿宋_GB2312" w:cs="仿宋_GB2312" w:eastAsia="仿宋_GB2312"/>
              </w:rPr>
              <w:t>▲（13）支持资源容量预测服务，内置时间序列模型，管理平台自动化实现数据检索预测，提供用户易用的数据预测服务，服务支持呈现实时的CPU、内存和存储容量资源使用数据信息展示，并给出基于AI机器学习算法预测分析得到的预警时间点的提示，帮助用户做好资源扩容、成本预算等，提升业务可靠性；</w:t>
            </w:r>
          </w:p>
          <w:p>
            <w:pPr>
              <w:pStyle w:val="null3"/>
            </w:pPr>
            <w:r>
              <w:rPr>
                <w:rFonts w:ascii="仿宋_GB2312" w:hAnsi="仿宋_GB2312" w:cs="仿宋_GB2312" w:eastAsia="仿宋_GB2312"/>
              </w:rPr>
              <w:t>3.计算虚拟化功能服务</w:t>
            </w:r>
          </w:p>
          <w:p>
            <w:pPr>
              <w:pStyle w:val="null3"/>
            </w:pPr>
            <w:r>
              <w:rPr>
                <w:rFonts w:ascii="仿宋_GB2312" w:hAnsi="仿宋_GB2312" w:cs="仿宋_GB2312" w:eastAsia="仿宋_GB2312"/>
              </w:rPr>
              <w:t>（1）配置不低于8颗CPU计算虚拟化授权许可；</w:t>
            </w:r>
          </w:p>
          <w:p>
            <w:pPr>
              <w:pStyle w:val="null3"/>
            </w:pPr>
            <w:r>
              <w:rPr>
                <w:rFonts w:ascii="仿宋_GB2312" w:hAnsi="仿宋_GB2312" w:cs="仿宋_GB2312" w:eastAsia="仿宋_GB2312"/>
              </w:rPr>
              <w:t>（2）虚拟化软件非OEM或贴牌产品，禁止借用第三方软件的整合，以保证功能的可靠性和安全性；</w:t>
            </w:r>
          </w:p>
          <w:p>
            <w:pPr>
              <w:pStyle w:val="null3"/>
            </w:pPr>
            <w:r>
              <w:rPr>
                <w:rFonts w:ascii="仿宋_GB2312" w:hAnsi="仿宋_GB2312" w:cs="仿宋_GB2312" w:eastAsia="仿宋_GB2312"/>
              </w:rPr>
              <w:t>（3）虚拟机之间可以做到隔离保护，其中每一个虚拟机发生故障都不会影响同一个物理机上的其它虚拟机运行，每个虚拟机上的用户权限只限于本虚拟机之内，以保障系统平台的安全性；</w:t>
            </w:r>
          </w:p>
          <w:p>
            <w:pPr>
              <w:pStyle w:val="null3"/>
            </w:pPr>
            <w:r>
              <w:rPr>
                <w:rFonts w:ascii="仿宋_GB2312" w:hAnsi="仿宋_GB2312" w:cs="仿宋_GB2312" w:eastAsia="仿宋_GB2312"/>
              </w:rPr>
              <w:t>（4）支持现有市场上主要国内外操作系统；</w:t>
            </w:r>
          </w:p>
          <w:p>
            <w:pPr>
              <w:pStyle w:val="null3"/>
            </w:pPr>
            <w:r>
              <w:rPr>
                <w:rFonts w:ascii="仿宋_GB2312" w:hAnsi="仿宋_GB2312" w:cs="仿宋_GB2312" w:eastAsia="仿宋_GB2312"/>
              </w:rPr>
              <w:t>▲（5）虚拟化应基于KVM架构开发，可维护性好；</w:t>
            </w:r>
          </w:p>
          <w:p>
            <w:pPr>
              <w:pStyle w:val="null3"/>
            </w:pPr>
            <w:r>
              <w:rPr>
                <w:rFonts w:ascii="仿宋_GB2312" w:hAnsi="仿宋_GB2312" w:cs="仿宋_GB2312" w:eastAsia="仿宋_GB2312"/>
              </w:rPr>
              <w:t>（6）在超融合管理平台管理界面上提供虚拟机启动、暂停、恢复、休眠、重启、关闭、克隆、迁移、删除、快照等功能的批量操作；</w:t>
            </w:r>
          </w:p>
          <w:p>
            <w:pPr>
              <w:pStyle w:val="null3"/>
            </w:pPr>
            <w:r>
              <w:rPr>
                <w:rFonts w:ascii="仿宋_GB2312" w:hAnsi="仿宋_GB2312" w:cs="仿宋_GB2312" w:eastAsia="仿宋_GB2312"/>
              </w:rPr>
              <w:t>▲（7）提供虚拟机回收站功能，统一管理被删除的虚拟机，防止因虚拟机误删除导致数据丢失，支持设置回收站文件保存周期，超期的文件将被自动删除；</w:t>
            </w:r>
          </w:p>
          <w:p>
            <w:pPr>
              <w:pStyle w:val="null3"/>
            </w:pPr>
            <w:r>
              <w:rPr>
                <w:rFonts w:ascii="仿宋_GB2312" w:hAnsi="仿宋_GB2312" w:cs="仿宋_GB2312" w:eastAsia="仿宋_GB2312"/>
              </w:rPr>
              <w:t>（8）支持批量修改虚拟机的配置参数，包括：I/O优先级、启动优先级、是否自动迁移、CPU调度优先级、CPU个数、内存大小、自动启动、VM启动设备、启用VNC代理、tools自动升级等；</w:t>
            </w:r>
          </w:p>
          <w:p>
            <w:pPr>
              <w:pStyle w:val="null3"/>
            </w:pPr>
            <w:r>
              <w:rPr>
                <w:rFonts w:ascii="仿宋_GB2312" w:hAnsi="仿宋_GB2312" w:cs="仿宋_GB2312" w:eastAsia="仿宋_GB2312"/>
              </w:rPr>
              <w:t>▲（9）支持虚拟机迁移历史记录功能，记录中包含迁移的操作员、迁移方式、源主机、目的主机、开始时间、迁移耗时等信息，便于对虚拟机的迁移路径进行回溯；</w:t>
            </w:r>
          </w:p>
          <w:p>
            <w:pPr>
              <w:pStyle w:val="null3"/>
            </w:pPr>
            <w:r>
              <w:rPr>
                <w:rFonts w:ascii="仿宋_GB2312" w:hAnsi="仿宋_GB2312" w:cs="仿宋_GB2312" w:eastAsia="仿宋_GB2312"/>
              </w:rPr>
              <w:t>（10）支持主机、虚拟机报表及TOP N统计报表功能，监控指标包含CPU利用率、内存利用率、磁盘读速率、磁盘写速率、磁盘IO吞吐量、网络总流量、网络读流量、网络写流量、网络读速率、网络写速率等；</w:t>
            </w:r>
          </w:p>
          <w:p>
            <w:pPr>
              <w:pStyle w:val="null3"/>
            </w:pPr>
            <w:r>
              <w:rPr>
                <w:rFonts w:ascii="仿宋_GB2312" w:hAnsi="仿宋_GB2312" w:cs="仿宋_GB2312" w:eastAsia="仿宋_GB2312"/>
              </w:rPr>
              <w:t>▲（11）支持集群动态资源调度功能，可基于主机的CPU利用率、内存利用率、磁盘I/O、存储利用率、磁盘请求、网络流量等资源对虚拟机进行动态资源调度，实现自动化的存储资源分配和负载均衡功能，主动确保云环境的服务水平；</w:t>
            </w:r>
          </w:p>
          <w:p>
            <w:pPr>
              <w:pStyle w:val="null3"/>
            </w:pPr>
            <w:r>
              <w:rPr>
                <w:rFonts w:ascii="仿宋_GB2312" w:hAnsi="仿宋_GB2312" w:cs="仿宋_GB2312" w:eastAsia="仿宋_GB2312"/>
              </w:rPr>
              <w:t>▲（12）支持虚拟机桌面预览功能，无需登录虚拟机即可在虚拟化管理平台上看到虚拟机当前桌面的状态；</w:t>
            </w:r>
          </w:p>
          <w:p>
            <w:pPr>
              <w:pStyle w:val="null3"/>
            </w:pPr>
            <w:r>
              <w:rPr>
                <w:rFonts w:ascii="仿宋_GB2312" w:hAnsi="仿宋_GB2312" w:cs="仿宋_GB2312" w:eastAsia="仿宋_GB2312"/>
              </w:rPr>
              <w:t>▲（13）虚拟化软件内置备份模块，无需单独安装备份软件即可实现虚拟机全量、增量、差异备份功能，备份时对业务运行无影响，支持按时间（按天、按周、按月）设置自动化备份策略，备份策略可细化到分钟级；</w:t>
            </w:r>
          </w:p>
          <w:p>
            <w:pPr>
              <w:pStyle w:val="null3"/>
            </w:pPr>
            <w:r>
              <w:rPr>
                <w:rFonts w:ascii="仿宋_GB2312" w:hAnsi="仿宋_GB2312" w:cs="仿宋_GB2312" w:eastAsia="仿宋_GB2312"/>
              </w:rPr>
              <w:t>4.存储虚拟化功能服务</w:t>
            </w:r>
          </w:p>
          <w:p>
            <w:pPr>
              <w:pStyle w:val="null3"/>
            </w:pPr>
            <w:r>
              <w:rPr>
                <w:rFonts w:ascii="仿宋_GB2312" w:hAnsi="仿宋_GB2312" w:cs="仿宋_GB2312" w:eastAsia="仿宋_GB2312"/>
              </w:rPr>
              <w:t>（1）配置不低于8个CPU的存储虚拟化授权；</w:t>
            </w:r>
          </w:p>
          <w:p>
            <w:pPr>
              <w:pStyle w:val="null3"/>
            </w:pPr>
            <w:r>
              <w:rPr>
                <w:rFonts w:ascii="仿宋_GB2312" w:hAnsi="仿宋_GB2312" w:cs="仿宋_GB2312" w:eastAsia="仿宋_GB2312"/>
              </w:rPr>
              <w:t>（2）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w:t>
            </w:r>
          </w:p>
          <w:p>
            <w:pPr>
              <w:pStyle w:val="null3"/>
            </w:pPr>
            <w:r>
              <w:rPr>
                <w:rFonts w:ascii="仿宋_GB2312" w:hAnsi="仿宋_GB2312" w:cs="仿宋_GB2312" w:eastAsia="仿宋_GB2312"/>
              </w:rPr>
              <w:t>（3）同一节点同时支持虚拟化和3种存储功能，最少只需3个节点集群即可同时提供虚拟化、分布式块、对象、文件存储服务；其中对象和文件服务必须在宿主机上提供，和超融合自研同品牌，不能以应用跑在虚拟机上的形式提供；</w:t>
            </w:r>
          </w:p>
          <w:p>
            <w:pPr>
              <w:pStyle w:val="null3"/>
            </w:pPr>
            <w:r>
              <w:rPr>
                <w:rFonts w:ascii="仿宋_GB2312" w:hAnsi="仿宋_GB2312" w:cs="仿宋_GB2312" w:eastAsia="仿宋_GB2312"/>
              </w:rPr>
              <w:t>（4）支持厚/精简配置；厚配置根据业务需求分配固定的物理存储空间、精简配置根据应用实际写需要时才分配相应的物理存储空间；</w:t>
            </w:r>
          </w:p>
          <w:p>
            <w:pPr>
              <w:pStyle w:val="null3"/>
            </w:pPr>
            <w:r>
              <w:rPr>
                <w:rFonts w:ascii="仿宋_GB2312" w:hAnsi="仿宋_GB2312" w:cs="仿宋_GB2312" w:eastAsia="仿宋_GB2312"/>
              </w:rPr>
              <w:t>（5）块存储支持快照功能，可支持创建可写快照；</w:t>
            </w:r>
          </w:p>
          <w:p>
            <w:pPr>
              <w:pStyle w:val="null3"/>
            </w:pPr>
            <w:r>
              <w:rPr>
                <w:rFonts w:ascii="仿宋_GB2312" w:hAnsi="仿宋_GB2312" w:cs="仿宋_GB2312" w:eastAsia="仿宋_GB2312"/>
              </w:rPr>
              <w:t>（6）支持查询、创建、修改、删除、复制对象，支持分片上传和下载，支持对象的生命周期管理；</w:t>
            </w:r>
          </w:p>
          <w:p>
            <w:pPr>
              <w:pStyle w:val="null3"/>
            </w:pPr>
            <w:r>
              <w:rPr>
                <w:rFonts w:ascii="仿宋_GB2312" w:hAnsi="仿宋_GB2312" w:cs="仿宋_GB2312" w:eastAsia="仿宋_GB2312"/>
              </w:rPr>
              <w:t>（7）支持用户权限和访问控制，支持用户和桶的配额管理；</w:t>
            </w:r>
          </w:p>
          <w:p>
            <w:pPr>
              <w:pStyle w:val="null3"/>
            </w:pPr>
            <w:r>
              <w:rPr>
                <w:rFonts w:ascii="仿宋_GB2312" w:hAnsi="仿宋_GB2312" w:cs="仿宋_GB2312" w:eastAsia="仿宋_GB2312"/>
              </w:rPr>
              <w:t>（8）支持对象的多版本管理，当发生误删除或人为篡改时，可通过历史版本恢复数据；</w:t>
            </w:r>
          </w:p>
          <w:p>
            <w:pPr>
              <w:pStyle w:val="null3"/>
            </w:pPr>
            <w:r>
              <w:rPr>
                <w:rFonts w:ascii="仿宋_GB2312" w:hAnsi="仿宋_GB2312" w:cs="仿宋_GB2312" w:eastAsia="仿宋_GB2312"/>
              </w:rPr>
              <w:t>（9）支持纠删码特性，支持N+1到N+4的纠删码保护，最大支持任意4个节点故障而数据不丢失、系统不停机；</w:t>
            </w:r>
          </w:p>
          <w:p>
            <w:pPr>
              <w:pStyle w:val="null3"/>
            </w:pPr>
            <w:r>
              <w:rPr>
                <w:rFonts w:ascii="仿宋_GB2312" w:hAnsi="仿宋_GB2312" w:cs="仿宋_GB2312" w:eastAsia="仿宋_GB2312"/>
              </w:rPr>
              <w:t>（10）支持构建存储集群，集群内节点可添加和删除，并且可支持添加删除硬盘并实现硬盘在线/离线扩容、更换功能，并能实现磁盘的批量扩容，新增磁盘或者节点后，系统可自动实现数据均衡，保障资源的平衡利用，随着磁盘及节点的扩展，存储性能可实现线性增长；</w:t>
            </w:r>
          </w:p>
          <w:p>
            <w:pPr>
              <w:pStyle w:val="null3"/>
            </w:pPr>
            <w:r>
              <w:rPr>
                <w:rFonts w:ascii="仿宋_GB2312" w:hAnsi="仿宋_GB2312" w:cs="仿宋_GB2312" w:eastAsia="仿宋_GB2312"/>
              </w:rPr>
              <w:t>（11）支持通过B/S管理界面对存储基础架构进行集中的配置，如存储资源池、集群、集群节点、磁盘等资源进行合理的划分和配置；</w:t>
            </w:r>
          </w:p>
          <w:p>
            <w:pPr>
              <w:pStyle w:val="null3"/>
            </w:pPr>
            <w:r>
              <w:rPr>
                <w:rFonts w:ascii="仿宋_GB2312" w:hAnsi="仿宋_GB2312" w:cs="仿宋_GB2312" w:eastAsia="仿宋_GB2312"/>
              </w:rPr>
              <w:t>▲（12）对系统中的盘磨损度进行检测，当盘达到设计的磨损度后增大到该盘的IO数量，使其提前磨损并重构，避免系统中多个盘寿命同时到达后同时故障；</w:t>
            </w:r>
          </w:p>
          <w:p>
            <w:pPr>
              <w:pStyle w:val="null3"/>
            </w:pPr>
            <w:r>
              <w:rPr>
                <w:rFonts w:ascii="仿宋_GB2312" w:hAnsi="仿宋_GB2312" w:cs="仿宋_GB2312" w:eastAsia="仿宋_GB2312"/>
              </w:rPr>
              <w:t>5.网络虚拟化功能服务</w:t>
            </w:r>
          </w:p>
          <w:p>
            <w:pPr>
              <w:pStyle w:val="null3"/>
            </w:pPr>
            <w:r>
              <w:rPr>
                <w:rFonts w:ascii="仿宋_GB2312" w:hAnsi="仿宋_GB2312" w:cs="仿宋_GB2312" w:eastAsia="仿宋_GB2312"/>
              </w:rPr>
              <w:t>（1）支持设置虚拟机网络优先级别，当物理网卡带宽拥塞时，确保高优先级的关键业务能够分配到尽可能多的网络I/O资源；</w:t>
            </w:r>
          </w:p>
          <w:p>
            <w:pPr>
              <w:pStyle w:val="null3"/>
            </w:pPr>
            <w:r>
              <w:rPr>
                <w:rFonts w:ascii="仿宋_GB2312" w:hAnsi="仿宋_GB2312" w:cs="仿宋_GB2312" w:eastAsia="仿宋_GB2312"/>
              </w:rPr>
              <w:t>（2）支持指定NetFlow收集器的IP地址和端口号，流经虚拟交换机的流量将发送到指定的NetFlow收集器。支持按照业务流量IPv4报文五元组（源IP地址、目的IP地址、源端口号、目的端口号、协议号）定义流；</w:t>
            </w:r>
          </w:p>
          <w:p>
            <w:pPr>
              <w:pStyle w:val="null3"/>
            </w:pPr>
            <w:r>
              <w:rPr>
                <w:rFonts w:ascii="仿宋_GB2312" w:hAnsi="仿宋_GB2312" w:cs="仿宋_GB2312" w:eastAsia="仿宋_GB2312"/>
              </w:rPr>
              <w:t>（3）支持端口镜像，将指定端口的报文复制到与数据监测设备相连的端口，使用户可以利用数据监测设备分析这些复制过来的报文，以进行网络监控和故障排除；</w:t>
            </w:r>
          </w:p>
          <w:p>
            <w:pPr>
              <w:pStyle w:val="null3"/>
            </w:pPr>
            <w:r>
              <w:rPr>
                <w:rFonts w:ascii="仿宋_GB2312" w:hAnsi="仿宋_GB2312" w:cs="仿宋_GB2312" w:eastAsia="仿宋_GB2312"/>
              </w:rPr>
              <w:t>（4）虚拟交换机能够作为DHCP Server，为虚拟化环境中的虚拟机自动分配IP地址，并以图形化的方式显示IP地址池分配情况；</w:t>
            </w:r>
          </w:p>
          <w:p>
            <w:pPr>
              <w:pStyle w:val="null3"/>
            </w:pPr>
            <w:r>
              <w:rPr>
                <w:rFonts w:ascii="仿宋_GB2312" w:hAnsi="仿宋_GB2312" w:cs="仿宋_GB2312" w:eastAsia="仿宋_GB2312"/>
              </w:rPr>
              <w:t>（5）支持网卡直通，通过IOMMU技术，将物理网卡透传给主机上的某一个虚拟机，该虚拟机独占该物理网卡，完全拥有物理网卡资源和性能；</w:t>
            </w:r>
          </w:p>
          <w:p>
            <w:pPr>
              <w:pStyle w:val="null3"/>
            </w:pPr>
            <w:r>
              <w:rPr>
                <w:rFonts w:ascii="仿宋_GB2312" w:hAnsi="仿宋_GB2312" w:cs="仿宋_GB2312" w:eastAsia="仿宋_GB2312"/>
              </w:rPr>
              <w:t>（6）支持创建网络策略模板，利用跨多个虚拟端口的网络策略模板简化端口配置，模板定义了一组网络策略属性，包括VLAN、QoS、ACL、网络优先级等；</w:t>
            </w:r>
          </w:p>
          <w:p>
            <w:pPr>
              <w:pStyle w:val="null3"/>
            </w:pPr>
            <w:r>
              <w:rPr>
                <w:rFonts w:ascii="仿宋_GB2312" w:hAnsi="仿宋_GB2312" w:cs="仿宋_GB2312" w:eastAsia="仿宋_GB2312"/>
              </w:rPr>
              <w:t>（7）支持ACL功能，通过ACL来控制虚拟机之间的网络访问能力，进而保障部署在虚拟机上的业务资源的安全性；支持根据报文的源和目的MAC地址、源和目的IP地址信息、源和目的IP地址及源和目的端口、在指定时间段定义的范围内制定匹配规则；</w:t>
            </w:r>
          </w:p>
          <w:p>
            <w:pPr>
              <w:pStyle w:val="null3"/>
            </w:pPr>
            <w:r>
              <w:rPr>
                <w:rFonts w:ascii="仿宋_GB2312" w:hAnsi="仿宋_GB2312" w:cs="仿宋_GB2312" w:eastAsia="仿宋_GB2312"/>
              </w:rPr>
              <w:t>（8）支持IP/MAC绑定，支持设置虚拟机IP地址和MAC地址绑定关系，防止IP地址或MAC地址更改造成审计的困难；</w:t>
            </w:r>
          </w:p>
          <w:p>
            <w:pPr>
              <w:pStyle w:val="null3"/>
              <w:jc w:val="both"/>
            </w:pPr>
            <w:r>
              <w:rPr>
                <w:rFonts w:ascii="仿宋_GB2312" w:hAnsi="仿宋_GB2312" w:cs="仿宋_GB2312" w:eastAsia="仿宋_GB2312"/>
              </w:rPr>
              <w:t>6.万兆交换互联服务</w:t>
            </w:r>
          </w:p>
          <w:p>
            <w:pPr>
              <w:pStyle w:val="null3"/>
            </w:pPr>
            <w:r>
              <w:rPr>
                <w:rFonts w:ascii="仿宋_GB2312" w:hAnsi="仿宋_GB2312" w:cs="仿宋_GB2312" w:eastAsia="仿宋_GB2312"/>
              </w:rPr>
              <w:t>（1）万兆交换互联2台；</w:t>
            </w:r>
          </w:p>
          <w:p>
            <w:pPr>
              <w:pStyle w:val="null3"/>
            </w:pPr>
            <w:r>
              <w:rPr>
                <w:rFonts w:ascii="仿宋_GB2312" w:hAnsi="仿宋_GB2312" w:cs="仿宋_GB2312" w:eastAsia="仿宋_GB2312"/>
              </w:rPr>
              <w:t>▲（2）交换容量≥2.5Tbps，包转发率≥700Mpps；</w:t>
            </w:r>
          </w:p>
          <w:p>
            <w:pPr>
              <w:pStyle w:val="null3"/>
            </w:pPr>
            <w:r>
              <w:rPr>
                <w:rFonts w:ascii="仿宋_GB2312" w:hAnsi="仿宋_GB2312" w:cs="仿宋_GB2312" w:eastAsia="仿宋_GB2312"/>
              </w:rPr>
              <w:t>（3）扩展插槽数≥2；</w:t>
            </w:r>
          </w:p>
          <w:p>
            <w:pPr>
              <w:pStyle w:val="null3"/>
            </w:pPr>
            <w:r>
              <w:rPr>
                <w:rFonts w:ascii="仿宋_GB2312" w:hAnsi="仿宋_GB2312" w:cs="仿宋_GB2312" w:eastAsia="仿宋_GB2312"/>
              </w:rPr>
              <w:t>（4）接口类型：≥24个1/10GE SFP+光接口，≥4个40G QSFP+光接口；</w:t>
            </w:r>
          </w:p>
          <w:p>
            <w:pPr>
              <w:pStyle w:val="null3"/>
            </w:pPr>
            <w:r>
              <w:rPr>
                <w:rFonts w:ascii="仿宋_GB2312" w:hAnsi="仿宋_GB2312" w:cs="仿宋_GB2312" w:eastAsia="仿宋_GB2312"/>
              </w:rPr>
              <w:t>（5）安全：可以集成包括FW，IPS、负载均衡等安全模块插卡；</w:t>
            </w:r>
          </w:p>
          <w:p>
            <w:pPr>
              <w:pStyle w:val="null3"/>
            </w:pPr>
            <w:r>
              <w:rPr>
                <w:rFonts w:ascii="仿宋_GB2312" w:hAnsi="仿宋_GB2312" w:cs="仿宋_GB2312" w:eastAsia="仿宋_GB2312"/>
              </w:rPr>
              <w:t>（6）电源风扇：模块化双电源，双风扇；</w:t>
            </w:r>
          </w:p>
          <w:p>
            <w:pPr>
              <w:pStyle w:val="null3"/>
            </w:pPr>
            <w:r>
              <w:rPr>
                <w:rFonts w:ascii="仿宋_GB2312" w:hAnsi="仿宋_GB2312" w:cs="仿宋_GB2312" w:eastAsia="仿宋_GB2312"/>
              </w:rPr>
              <w:t>（7）VxLAN：支持VxLAN二层网关，支持VxLAN三层网关，支持EVPN；</w:t>
            </w:r>
          </w:p>
          <w:p>
            <w:pPr>
              <w:pStyle w:val="null3"/>
            </w:pPr>
            <w:r>
              <w:rPr>
                <w:rFonts w:ascii="仿宋_GB2312" w:hAnsi="仿宋_GB2312" w:cs="仿宋_GB2312" w:eastAsia="仿宋_GB2312"/>
              </w:rPr>
              <w:t>（8）ERPS：支持ERPS功能，并且收敛时间小于50ms；</w:t>
            </w:r>
          </w:p>
          <w:p>
            <w:pPr>
              <w:pStyle w:val="null3"/>
            </w:pPr>
            <w:r>
              <w:rPr>
                <w:rFonts w:ascii="仿宋_GB2312" w:hAnsi="仿宋_GB2312" w:cs="仿宋_GB2312" w:eastAsia="仿宋_GB2312"/>
              </w:rPr>
              <w:t>（9）堆叠：最大堆叠台数≥9台；</w:t>
            </w:r>
          </w:p>
          <w:p>
            <w:pPr>
              <w:pStyle w:val="null3"/>
            </w:pPr>
            <w:r>
              <w:rPr>
                <w:rFonts w:ascii="仿宋_GB2312" w:hAnsi="仿宋_GB2312" w:cs="仿宋_GB2312" w:eastAsia="仿宋_GB2312"/>
              </w:rPr>
              <w:t>（10）VLAN特性：支持基于端口的VLAN，支持基于协议的VLAN，支持基于MAC的VLAN；</w:t>
            </w:r>
          </w:p>
          <w:p>
            <w:pPr>
              <w:pStyle w:val="null3"/>
            </w:pPr>
            <w:r>
              <w:rPr>
                <w:rFonts w:ascii="仿宋_GB2312" w:hAnsi="仿宋_GB2312" w:cs="仿宋_GB2312" w:eastAsia="仿宋_GB2312"/>
              </w:rPr>
              <w:t>（11）路由协议：支持IPv4静态路由、RIP V1/V2、OSPF、BGP、ISIS，支持IPv6静态路由、RIPng、OSPFv3、BGP4+；</w:t>
            </w:r>
          </w:p>
          <w:p>
            <w:pPr>
              <w:pStyle w:val="null3"/>
            </w:pPr>
            <w:r>
              <w:rPr>
                <w:rFonts w:ascii="仿宋_GB2312" w:hAnsi="仿宋_GB2312" w:cs="仿宋_GB2312" w:eastAsia="仿宋_GB2312"/>
              </w:rPr>
              <w:t>（12）访问控制策略：支持基于第二层、第三层和第四层的ACL，支持基于端口和VLAN的ACL，支持802.1x认证，支持集中式MAC地址认证；</w:t>
            </w:r>
          </w:p>
          <w:p>
            <w:pPr>
              <w:pStyle w:val="null3"/>
            </w:pPr>
            <w:r>
              <w:rPr>
                <w:rFonts w:ascii="仿宋_GB2312" w:hAnsi="仿宋_GB2312" w:cs="仿宋_GB2312" w:eastAsia="仿宋_GB2312"/>
              </w:rPr>
              <w:t>（13）管理和维护：支持SNMP V1/V2/V3、RMON、SSHV2，支持OAM(802.1AG，802.3AH)以太网运行、维护和管理标准；</w:t>
            </w:r>
          </w:p>
          <w:p>
            <w:pPr>
              <w:pStyle w:val="null3"/>
            </w:pPr>
            <w:r>
              <w:rPr>
                <w:rFonts w:ascii="仿宋_GB2312" w:hAnsi="仿宋_GB2312" w:cs="仿宋_GB2312" w:eastAsia="仿宋_GB2312"/>
              </w:rPr>
              <w:t>（14）实配：1根40G堆叠电缆，双电源，双风扇，24个万兆多模光模块；</w:t>
            </w:r>
          </w:p>
          <w:p>
            <w:pPr>
              <w:pStyle w:val="null3"/>
            </w:pPr>
            <w:r>
              <w:rPr>
                <w:rFonts w:ascii="仿宋_GB2312" w:hAnsi="仿宋_GB2312" w:cs="仿宋_GB2312" w:eastAsia="仿宋_GB2312"/>
              </w:rPr>
              <w:t>（15）具备电信设备进网许可证。</w:t>
            </w:r>
          </w:p>
          <w:p>
            <w:pPr>
              <w:pStyle w:val="null3"/>
              <w:jc w:val="both"/>
            </w:pPr>
            <w:r>
              <w:rPr>
                <w:rFonts w:ascii="仿宋_GB2312" w:hAnsi="仿宋_GB2312" w:cs="仿宋_GB2312" w:eastAsia="仿宋_GB2312"/>
                <w:b/>
              </w:rPr>
              <w:t>7.千兆交换互联服务</w:t>
            </w:r>
          </w:p>
          <w:p>
            <w:pPr>
              <w:pStyle w:val="null3"/>
            </w:pPr>
            <w:r>
              <w:rPr>
                <w:rFonts w:ascii="仿宋_GB2312" w:hAnsi="仿宋_GB2312" w:cs="仿宋_GB2312" w:eastAsia="仿宋_GB2312"/>
              </w:rPr>
              <w:t>（1）千兆交换互联2台；</w:t>
            </w:r>
          </w:p>
          <w:p>
            <w:pPr>
              <w:pStyle w:val="null3"/>
            </w:pPr>
            <w:r>
              <w:rPr>
                <w:rFonts w:ascii="仿宋_GB2312" w:hAnsi="仿宋_GB2312" w:cs="仿宋_GB2312" w:eastAsia="仿宋_GB2312"/>
              </w:rPr>
              <w:t>▲（2）交换容量≥670Gbps，包转发率≥170Mpps；</w:t>
            </w:r>
          </w:p>
          <w:p>
            <w:pPr>
              <w:pStyle w:val="null3"/>
            </w:pPr>
            <w:r>
              <w:rPr>
                <w:rFonts w:ascii="仿宋_GB2312" w:hAnsi="仿宋_GB2312" w:cs="仿宋_GB2312" w:eastAsia="仿宋_GB2312"/>
              </w:rPr>
              <w:t>（3）接口类型：≥24个10/100/1000Base-T自适应以太网端口，≥4个万兆SFP+口，静音无风扇；</w:t>
            </w:r>
          </w:p>
          <w:p>
            <w:pPr>
              <w:pStyle w:val="null3"/>
            </w:pPr>
            <w:r>
              <w:rPr>
                <w:rFonts w:ascii="仿宋_GB2312" w:hAnsi="仿宋_GB2312" w:cs="仿宋_GB2312" w:eastAsia="仿宋_GB2312"/>
              </w:rPr>
              <w:t>（4）性能指标：MAC地址表≥16K，路由表容量≥1K（支持OSPF）；</w:t>
            </w:r>
          </w:p>
          <w:p>
            <w:pPr>
              <w:pStyle w:val="null3"/>
            </w:pPr>
            <w:r>
              <w:rPr>
                <w:rFonts w:ascii="仿宋_GB2312" w:hAnsi="仿宋_GB2312" w:cs="仿宋_GB2312" w:eastAsia="仿宋_GB2312"/>
              </w:rPr>
              <w:t>（5）ERPS：实现ERPS功能，能够快速阻断环路，链路收敛时间≤50ms；</w:t>
            </w:r>
          </w:p>
          <w:p>
            <w:pPr>
              <w:pStyle w:val="null3"/>
            </w:pPr>
            <w:r>
              <w:rPr>
                <w:rFonts w:ascii="仿宋_GB2312" w:hAnsi="仿宋_GB2312" w:cs="仿宋_GB2312" w:eastAsia="仿宋_GB2312"/>
              </w:rPr>
              <w:t>（6）堆叠：最大堆叠台数≥9台；</w:t>
            </w:r>
          </w:p>
          <w:p>
            <w:pPr>
              <w:pStyle w:val="null3"/>
            </w:pPr>
            <w:r>
              <w:rPr>
                <w:rFonts w:ascii="仿宋_GB2312" w:hAnsi="仿宋_GB2312" w:cs="仿宋_GB2312" w:eastAsia="仿宋_GB2312"/>
              </w:rPr>
              <w:t>（7）VLAN特性：最大VLAN数≥4094；</w:t>
            </w:r>
          </w:p>
          <w:p>
            <w:pPr>
              <w:pStyle w:val="null3"/>
            </w:pPr>
            <w:r>
              <w:rPr>
                <w:rFonts w:ascii="仿宋_GB2312" w:hAnsi="仿宋_GB2312" w:cs="仿宋_GB2312" w:eastAsia="仿宋_GB2312"/>
              </w:rPr>
              <w:t>（8）路由协议：支持IPv4静态路由、RIP V1/V2、OSPF，支持IPv6静态路由、RIPng；</w:t>
            </w:r>
          </w:p>
          <w:p>
            <w:pPr>
              <w:pStyle w:val="null3"/>
              <w:jc w:val="both"/>
            </w:pPr>
            <w:r>
              <w:rPr>
                <w:rFonts w:ascii="仿宋_GB2312" w:hAnsi="仿宋_GB2312" w:cs="仿宋_GB2312" w:eastAsia="仿宋_GB2312"/>
              </w:rPr>
              <w:t>（9）管理和维护：支持SNMP V1/V2/V3、RMON、SSHV2，支持OAM(802.1AG，802.3AH)以太网运行、维护和管理标准；</w:t>
            </w:r>
          </w:p>
          <w:p>
            <w:pPr>
              <w:pStyle w:val="null3"/>
            </w:pPr>
            <w:r>
              <w:rPr>
                <w:rFonts w:ascii="仿宋_GB2312" w:hAnsi="仿宋_GB2312" w:cs="仿宋_GB2312" w:eastAsia="仿宋_GB2312"/>
              </w:rPr>
              <w:t>（10）实配：1根万兆堆叠电缆；</w:t>
            </w:r>
          </w:p>
          <w:p>
            <w:pPr>
              <w:pStyle w:val="null3"/>
            </w:pPr>
            <w:r>
              <w:rPr>
                <w:rFonts w:ascii="仿宋_GB2312" w:hAnsi="仿宋_GB2312" w:cs="仿宋_GB2312" w:eastAsia="仿宋_GB2312"/>
              </w:rPr>
              <w:t>（11）具备电信设备进网许可证。</w:t>
            </w:r>
          </w:p>
          <w:p>
            <w:pPr>
              <w:pStyle w:val="null3"/>
            </w:pPr>
            <w:r>
              <w:rPr>
                <w:rFonts w:ascii="仿宋_GB2312" w:hAnsi="仿宋_GB2312" w:cs="仿宋_GB2312" w:eastAsia="仿宋_GB2312"/>
                <w:b/>
              </w:rPr>
              <w:t>8.安装、实施服务费（含辅材辅料）1项</w:t>
            </w:r>
          </w:p>
          <w:p>
            <w:pPr>
              <w:pStyle w:val="null3"/>
            </w:pPr>
            <w:r>
              <w:rPr>
                <w:rFonts w:ascii="仿宋_GB2312" w:hAnsi="仿宋_GB2312" w:cs="仿宋_GB2312" w:eastAsia="仿宋_GB2312"/>
              </w:rPr>
              <w:t>（1）安装、施工、尾纤、模块等安装施工调测服务；</w:t>
            </w:r>
          </w:p>
          <w:p>
            <w:pPr>
              <w:pStyle w:val="null3"/>
            </w:pPr>
            <w:r>
              <w:rPr>
                <w:rFonts w:ascii="仿宋_GB2312" w:hAnsi="仿宋_GB2312" w:cs="仿宋_GB2312" w:eastAsia="仿宋_GB2312"/>
                <w:b/>
              </w:rPr>
              <w:t>（二）中医药信息化平台分布式网络存储系统</w:t>
            </w:r>
          </w:p>
          <w:p>
            <w:pPr>
              <w:pStyle w:val="null3"/>
            </w:pPr>
            <w:r>
              <w:rPr>
                <w:rFonts w:ascii="仿宋_GB2312" w:hAnsi="仿宋_GB2312" w:cs="仿宋_GB2312" w:eastAsia="仿宋_GB2312"/>
                <w:b/>
              </w:rPr>
              <w:t>1.3节点分布式NAS集群系统服务</w:t>
            </w:r>
          </w:p>
          <w:p>
            <w:pPr>
              <w:pStyle w:val="null3"/>
              <w:jc w:val="both"/>
            </w:pPr>
            <w:r>
              <w:rPr>
                <w:rFonts w:ascii="仿宋_GB2312" w:hAnsi="仿宋_GB2312" w:cs="仿宋_GB2312" w:eastAsia="仿宋_GB2312"/>
              </w:rPr>
              <w:t>（1）3节点分布式NAS集群系统3套；</w:t>
            </w:r>
          </w:p>
          <w:p>
            <w:pPr>
              <w:pStyle w:val="null3"/>
            </w:pPr>
            <w:r>
              <w:rPr>
                <w:rFonts w:ascii="仿宋_GB2312" w:hAnsi="仿宋_GB2312" w:cs="仿宋_GB2312" w:eastAsia="仿宋_GB2312"/>
              </w:rPr>
              <w:t>（2）≥3节点分布式NAS集群系统（可用容量≥112T）；</w:t>
            </w:r>
          </w:p>
          <w:p>
            <w:pPr>
              <w:pStyle w:val="null3"/>
            </w:pPr>
            <w:r>
              <w:rPr>
                <w:rFonts w:ascii="仿宋_GB2312" w:hAnsi="仿宋_GB2312" w:cs="仿宋_GB2312" w:eastAsia="仿宋_GB2312"/>
              </w:rPr>
              <w:t>（3）每节点≥2U机架式，全对称分布式架构；</w:t>
            </w:r>
          </w:p>
          <w:p>
            <w:pPr>
              <w:pStyle w:val="null3"/>
            </w:pPr>
            <w:r>
              <w:rPr>
                <w:rFonts w:ascii="仿宋_GB2312" w:hAnsi="仿宋_GB2312" w:cs="仿宋_GB2312" w:eastAsia="仿宋_GB2312"/>
              </w:rPr>
              <w:t>（4）≥1颗国产处理器CPU、处理器核心数≥64核、主频≥1.8GHz；</w:t>
            </w:r>
          </w:p>
          <w:p>
            <w:pPr>
              <w:pStyle w:val="null3"/>
            </w:pPr>
            <w:r>
              <w:rPr>
                <w:rFonts w:ascii="仿宋_GB2312" w:hAnsi="仿宋_GB2312" w:cs="仿宋_GB2312" w:eastAsia="仿宋_GB2312"/>
              </w:rPr>
              <w:t>（5）≥128 GB DDR4内存，最大可扩展至512GB；</w:t>
            </w:r>
          </w:p>
          <w:p>
            <w:pPr>
              <w:pStyle w:val="null3"/>
            </w:pPr>
            <w:r>
              <w:rPr>
                <w:rFonts w:ascii="仿宋_GB2312" w:hAnsi="仿宋_GB2312" w:cs="仿宋_GB2312" w:eastAsia="仿宋_GB2312"/>
              </w:rPr>
              <w:t>（6）≥2块480GB SSD企业级冗余系统盘（RAID1），≥1*480GB企业级SSD元数据, ≥8块8TB企业级硬盘，支持RAID 0/1/10/5；支持纠删码+副本数据保护；</w:t>
            </w:r>
          </w:p>
          <w:p>
            <w:pPr>
              <w:pStyle w:val="null3"/>
            </w:pPr>
            <w:r>
              <w:rPr>
                <w:rFonts w:ascii="仿宋_GB2312" w:hAnsi="仿宋_GB2312" w:cs="仿宋_GB2312" w:eastAsia="仿宋_GB2312"/>
              </w:rPr>
              <w:t>（7）主机接口≥2个10GE (含光模块)、≥4个1GE；</w:t>
            </w:r>
          </w:p>
          <w:p>
            <w:pPr>
              <w:pStyle w:val="null3"/>
            </w:pPr>
            <w:r>
              <w:rPr>
                <w:rFonts w:ascii="仿宋_GB2312" w:hAnsi="仿宋_GB2312" w:cs="仿宋_GB2312" w:eastAsia="仿宋_GB2312"/>
              </w:rPr>
              <w:t>（8）迁移：可配合从一期把数据迁移到新存储，不会造成数据丢失；</w:t>
            </w:r>
          </w:p>
          <w:p>
            <w:pPr>
              <w:pStyle w:val="null3"/>
            </w:pPr>
            <w:r>
              <w:rPr>
                <w:rFonts w:ascii="仿宋_GB2312" w:hAnsi="仿宋_GB2312" w:cs="仿宋_GB2312" w:eastAsia="仿宋_GB2312"/>
              </w:rPr>
              <w:t>（9）兼容麒麟、windows、REHL、CentOS、Ubuntu、Mac等操作系统；</w:t>
            </w:r>
          </w:p>
          <w:p>
            <w:pPr>
              <w:pStyle w:val="null3"/>
              <w:jc w:val="both"/>
            </w:pPr>
            <w:r>
              <w:rPr>
                <w:rFonts w:ascii="仿宋_GB2312" w:hAnsi="仿宋_GB2312" w:cs="仿宋_GB2312" w:eastAsia="仿宋_GB2312"/>
              </w:rPr>
              <w:t>（10）支持文件、块、对象、大数据、云平台访问能力、同时支持数据逻辑销毁能力、四级故障域灵活设置能力；支持多集群管理；</w:t>
            </w:r>
          </w:p>
          <w:p>
            <w:pPr>
              <w:pStyle w:val="null3"/>
            </w:pPr>
            <w:r>
              <w:rPr>
                <w:rFonts w:ascii="仿宋_GB2312" w:hAnsi="仿宋_GB2312" w:cs="仿宋_GB2312" w:eastAsia="仿宋_GB2312"/>
              </w:rPr>
              <w:t>（11）配置全局Qos功能，具备目录QoS，允许在NFS、CIFS、Posix协议的共享目录进行QoS限速，具备全局和独立任务开关，具备存储卷、对象桶设置IOPS和带宽上限，误差不超过10%；</w:t>
            </w:r>
          </w:p>
          <w:p>
            <w:pPr>
              <w:pStyle w:val="null3"/>
            </w:pPr>
            <w:r>
              <w:rPr>
                <w:rFonts w:ascii="仿宋_GB2312" w:hAnsi="仿宋_GB2312" w:cs="仿宋_GB2312" w:eastAsia="仿宋_GB2312"/>
              </w:rPr>
              <w:t>（12）配置文件回收站功能，能够查看回收站内文件的基本信息(文件名、文件类型、删除时间)，能够通过“文件名称”，“删除时间”、“文件大小”来过滤搜索回收站内历史文件，能够还原和周期性清空；</w:t>
            </w:r>
          </w:p>
          <w:p>
            <w:pPr>
              <w:pStyle w:val="null3"/>
            </w:pPr>
            <w:r>
              <w:rPr>
                <w:rFonts w:ascii="仿宋_GB2312" w:hAnsi="仿宋_GB2312" w:cs="仿宋_GB2312" w:eastAsia="仿宋_GB2312"/>
              </w:rPr>
              <w:t>（13）用户目录配额：配置配额功能，支持对本地用户、AD用户、用户组、目录进行配额管理，限制写入容量和文件数量；</w:t>
            </w:r>
          </w:p>
          <w:p>
            <w:pPr>
              <w:pStyle w:val="null3"/>
              <w:jc w:val="both"/>
            </w:pPr>
            <w:r>
              <w:rPr>
                <w:rFonts w:ascii="仿宋_GB2312" w:hAnsi="仿宋_GB2312" w:cs="仿宋_GB2312" w:eastAsia="仿宋_GB2312"/>
                <w:b/>
              </w:rPr>
              <w:t>2.3节点分布式NAS集群系统万兆交换机</w:t>
            </w:r>
          </w:p>
          <w:p>
            <w:pPr>
              <w:pStyle w:val="null3"/>
            </w:pPr>
            <w:r>
              <w:rPr>
                <w:rFonts w:ascii="仿宋_GB2312" w:hAnsi="仿宋_GB2312" w:cs="仿宋_GB2312" w:eastAsia="仿宋_GB2312"/>
              </w:rPr>
              <w:t>（1）节点分布式NAS集群系统万兆交换机1台；</w:t>
            </w:r>
          </w:p>
          <w:p>
            <w:pPr>
              <w:pStyle w:val="null3"/>
            </w:pPr>
            <w:r>
              <w:rPr>
                <w:rFonts w:ascii="仿宋_GB2312" w:hAnsi="仿宋_GB2312" w:cs="仿宋_GB2312" w:eastAsia="仿宋_GB2312"/>
              </w:rPr>
              <w:t>▲（2）性能：交换容量≥2.56Tbps，转发率220Mpps；</w:t>
            </w:r>
          </w:p>
          <w:p>
            <w:pPr>
              <w:pStyle w:val="null3"/>
            </w:pPr>
            <w:r>
              <w:rPr>
                <w:rFonts w:ascii="仿宋_GB2312" w:hAnsi="仿宋_GB2312" w:cs="仿宋_GB2312" w:eastAsia="仿宋_GB2312"/>
              </w:rPr>
              <w:t>（3）接口：≥8千兆电+14万兆光+1USB；</w:t>
            </w:r>
          </w:p>
          <w:p>
            <w:pPr>
              <w:pStyle w:val="null3"/>
            </w:pPr>
            <w:r>
              <w:rPr>
                <w:rFonts w:ascii="仿宋_GB2312" w:hAnsi="仿宋_GB2312" w:cs="仿宋_GB2312" w:eastAsia="仿宋_GB2312"/>
              </w:rPr>
              <w:t>（4）支持≥9台设备虚拟化，最大堆叠带宽≥160G；</w:t>
            </w:r>
          </w:p>
          <w:p>
            <w:pPr>
              <w:pStyle w:val="null3"/>
              <w:jc w:val="both"/>
            </w:pPr>
            <w:r>
              <w:rPr>
                <w:rFonts w:ascii="仿宋_GB2312" w:hAnsi="仿宋_GB2312" w:cs="仿宋_GB2312" w:eastAsia="仿宋_GB2312"/>
              </w:rPr>
              <w:t>（5）支持OPENFLOW1.3标准支持6个普通模式和Openflow模式切换，支持多控制器(EQUAL模式、主备模式)；</w:t>
            </w:r>
          </w:p>
          <w:p>
            <w:pPr>
              <w:pStyle w:val="null3"/>
            </w:pPr>
            <w:r>
              <w:rPr>
                <w:rFonts w:ascii="仿宋_GB2312" w:hAnsi="仿宋_GB2312" w:cs="仿宋_GB2312" w:eastAsia="仿宋_GB2312"/>
              </w:rPr>
              <w:t>（6）支持IPv4静态路由、RIPV1/V2、0SPF、BGP、ISIS，支持IPv6静态路由、RIPng、OSPFv3、BGP4+，支持IPv4和IPv6环境下的策略路由；</w:t>
            </w:r>
          </w:p>
          <w:p>
            <w:pPr>
              <w:pStyle w:val="null3"/>
              <w:jc w:val="both"/>
            </w:pPr>
            <w:r>
              <w:rPr>
                <w:rFonts w:ascii="仿宋_GB2312" w:hAnsi="仿宋_GB2312" w:cs="仿宋_GB2312" w:eastAsia="仿宋_GB2312"/>
              </w:rPr>
              <w:t>注：1、“</w:t>
            </w:r>
            <w:r>
              <w:rPr>
                <w:rFonts w:ascii="仿宋_GB2312" w:hAnsi="仿宋_GB2312" w:cs="仿宋_GB2312" w:eastAsia="仿宋_GB2312"/>
                <w:sz w:val="21"/>
              </w:rPr>
              <w:t>▲</w:t>
            </w:r>
            <w:r>
              <w:rPr>
                <w:rFonts w:ascii="仿宋_GB2312" w:hAnsi="仿宋_GB2312" w:cs="仿宋_GB2312" w:eastAsia="仿宋_GB2312"/>
              </w:rPr>
              <w:t>”为重要参数，若不符合评审要求，可能会被扣分；</w:t>
            </w:r>
          </w:p>
          <w:p>
            <w:pPr>
              <w:pStyle w:val="null3"/>
              <w:jc w:val="both"/>
            </w:pPr>
            <w:r>
              <w:rPr>
                <w:rFonts w:ascii="仿宋_GB2312" w:hAnsi="仿宋_GB2312" w:cs="仿宋_GB2312" w:eastAsia="仿宋_GB2312"/>
              </w:rPr>
              <w:t>2、除“</w:t>
            </w:r>
            <w:r>
              <w:rPr>
                <w:rFonts w:ascii="仿宋_GB2312" w:hAnsi="仿宋_GB2312" w:cs="仿宋_GB2312" w:eastAsia="仿宋_GB2312"/>
                <w:sz w:val="21"/>
              </w:rPr>
              <w:t>▲</w:t>
            </w:r>
            <w:r>
              <w:rPr>
                <w:rFonts w:ascii="仿宋_GB2312" w:hAnsi="仿宋_GB2312" w:cs="仿宋_GB2312" w:eastAsia="仿宋_GB2312"/>
              </w:rPr>
              <w:t>”以外的参数，供应商须在响应文件中出具满足磋商文件要求的承诺函（在服务响应偏离表后承诺，格式自拟），对于未提供或未按要求提供承诺函的，按照无效响应处理；对于虚假承诺的，按照政府采购相关法律法规中有关“提供虚假材料的规定”进行处罚；对于承诺后未按照承诺内容履约的，采购人依法追究其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自合同签订之日起30日历日内完成软、硬件安装及调试，验收合格后质保期3年。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项目完成后，成交供应商应无条件配合采购人进行项目验收工作，并按照采购人要求提供验收资料。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1)质保要求 ①质保期：自履约验收合格之日起3年。 ②质保范围：各软、硬件等能够保证系统正常运行的所有内容。 ③在质保期内，中标人应免费负责相关软硬件运维工作，并免费提供软件升级、系统优化、故障处理、现场技术服务等工作。 ④服务响应方式：根据采购人要求及故障情况提供电子邮件、电话、即时通信工具、远程维护以及现场维护等方式。 ⑤质保期到期结束后，若采购人有需求可与中标人另行约定有偿质保服务。 2）培训要求 中标人应结合系统安装、调试、试运行、正式运行过程中等各阶段，对平台用户方管理员及使用人员进行有关系统软件、硬件安装、维护、操作使用等方面培训，规范化操作培训和使用答疑。 3）保密要求 ①在项目实施过程中，中标人所获得的、有关采购人或属于采购人的秘密及其他被认为是秘密的信息，未经采购人同意，不得泄露给任何第三方。任何一方为本项目需要，向任何人透露有关资料或信息且认为是其秘密信息，应事先予以注明。中标人只能将该信息用于服务于本项目，而且只能由相应的技术人员使用。 ②中标人在项目实施中应遵循采购人各项安全保密制度和规章，所有信息数据在迁移、处理等过程中严禁私自复制、传输，完成建设任务后，档案信息数据必须物理清除。 5）验收要求 项目建设完成后，中标人应无条件的配合建设方进行项目验收工作，并按照采购人要求提供验收配套资料。 6）履约要求 中标人应按照最终签订合同内容及本项目采购文件、响应文件相关内容完成履约责任，不得将本项目全部内容或部分内容分包或转包，一经发现将取消中标资格并解除合同。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提供扫描件并进行电子签章）。</w:t>
            </w:r>
          </w:p>
        </w:tc>
        <w:tc>
          <w:tcPr>
            <w:tcW w:type="dxa" w:w="1661"/>
          </w:tcPr>
          <w:p>
            <w:pPr>
              <w:pStyle w:val="null3"/>
            </w:pPr>
            <w:r>
              <w:rPr>
                <w:rFonts w:ascii="仿宋_GB2312" w:hAnsi="仿宋_GB2312" w:cs="仿宋_GB2312" w:eastAsia="仿宋_GB2312"/>
              </w:rPr>
              <w:t>一般资格审查证明材料.docx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供应商需在项目电子化交易系统中按要求填写《投标函》完成承诺，提供企业关联关系声明函并进行电子签章。</w:t>
            </w:r>
          </w:p>
        </w:tc>
        <w:tc>
          <w:tcPr>
            <w:tcW w:type="dxa" w:w="1661"/>
          </w:tcPr>
          <w:p>
            <w:pPr>
              <w:pStyle w:val="null3"/>
            </w:pPr>
            <w:r>
              <w:rPr>
                <w:rFonts w:ascii="仿宋_GB2312" w:hAnsi="仿宋_GB2312" w:cs="仿宋_GB2312" w:eastAsia="仿宋_GB2312"/>
              </w:rPr>
              <w:t>一般资格审查证明材料.docx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01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自2025年01月01日以来已缴存的至少一个月的纳税证明或完税证明，纳税证明或完税证明上应有代收机构或税务机关的公章或业务专用章。依法免税的投标人应提供相关文件证明；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未被列入“信用中国”网站（www.creditchina.gov.cn）失信被执行人和重大税收违法失信主体，不得为“中国政府采购网”（www.ccgp.gov.cn）政府采购严重违法失信行为记录名单中禁止参加政府采购活动的投标人；</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须提供法定代表人授权书(附法定代表人、被授权人身份证复印件)；法定代表人直接参加磋商，须提供法定代表人身份证明文件；</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符合磋商文件中“磋商响应文件格式”要求</w:t>
            </w:r>
          </w:p>
        </w:tc>
        <w:tc>
          <w:tcPr>
            <w:tcW w:type="dxa" w:w="1661"/>
          </w:tcPr>
          <w:p>
            <w:pPr>
              <w:pStyle w:val="null3"/>
            </w:pPr>
            <w:r>
              <w:rPr>
                <w:rFonts w:ascii="仿宋_GB2312" w:hAnsi="仿宋_GB2312" w:cs="仿宋_GB2312" w:eastAsia="仿宋_GB2312"/>
              </w:rPr>
              <w:t>响应文件封面 特殊资格审查资料.docx 一般资格审查证明材料.docx 服务响应偏离表.docx 商务应答表 服务方案 标的清单 报价表 类似业绩一览表.docx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有法定代表人或被授权人签字或盖章</w:t>
            </w:r>
          </w:p>
        </w:tc>
        <w:tc>
          <w:tcPr>
            <w:tcW w:type="dxa" w:w="1661"/>
          </w:tcPr>
          <w:p>
            <w:pPr>
              <w:pStyle w:val="null3"/>
            </w:pPr>
            <w:r>
              <w:rPr>
                <w:rFonts w:ascii="仿宋_GB2312" w:hAnsi="仿宋_GB2312" w:cs="仿宋_GB2312" w:eastAsia="仿宋_GB2312"/>
              </w:rPr>
              <w:t>响应文件封面 特殊资格审查资料.docx 一般资格审查证明材料.docx 服务响应偏离表.docx 商务应答表 服务方案 标的清单 报价表 类似业绩一览表.docx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首次只能有一个有效报价，且不能超过 本项目采购预算（最高限价）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应符合磋商文件规定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特殊资格审查资料.docx 一般资格审查证明材料.docx 服务响应偏离表.docx 商务应答表 服务方案 标的清单 报价表 类似业绩一览表.docx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特殊资格审查资料.docx 一般资格审查证明材料.docx 商务应答表 服务响应偏离表.docx 服务方案 标的清单 报价表 类似业绩一览表.docx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“技术参数与性能指标”中标“▲”的共20项为主要技术参数要求。供应商全部满足要求的得20分，每有一项不满足的扣1分，扣完20分为止。 注：须提供对应参数或功能模块的详细介绍及测试报告或系统界面截图或宣传彩页等资料作为佐证，否则不计分。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包含但不限于①对项目整体需求的理解及分析、②项目整体目标。 1、对项目整体需求的理解及分析全面、清晰，项目整体目标明确得(4-5]分； 2、对项目整体需求的理解及分析较全面、较清晰，项目整体目标较明确得(3-4]分； 3、对项目整体需求的理解及分析基本全面，项目整体目标基本明确得(2-3]分； 4、对项目整体需求的理解及分析不全面，项目整体目标不明确得(0-2]分； 5、未提供项目理解与整体服务计划不得分。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包括但不限于①总体架构设计、②数据迁移、③原有架构兼容④未来系统扩容延续等。 1、总体架构设计思路明确、清晰，数据迁移方案合理，原有架构兼容方案、未来系统扩容延续方案可行性强得(9-12]分； 2、总体架构设计思路较明确、较清晰，数据迁移方案较合理，原有架构兼容方案、未来系统扩容延续方案可行性较强得(6-9]分； 3、总体架构设计思路基本明确、基本清晰，数据迁移方案基本合理，原有架构兼容方案、未来系统扩容延续方案可行性一般得(3-6]分； 4、总体架构设计思路不明确、不清晰，数据迁移方案不合理，原有架构兼容方案、未来系统扩容延续方案可行性较差得(0-3]分； 5、未提供技术方案不得分。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部署实施方案</w:t>
            </w:r>
          </w:p>
        </w:tc>
        <w:tc>
          <w:tcPr>
            <w:tcW w:type="dxa" w:w="2492"/>
          </w:tcPr>
          <w:p>
            <w:pPr>
              <w:pStyle w:val="null3"/>
            </w:pPr>
            <w:r>
              <w:rPr>
                <w:rFonts w:ascii="仿宋_GB2312" w:hAnsi="仿宋_GB2312" w:cs="仿宋_GB2312" w:eastAsia="仿宋_GB2312"/>
              </w:rPr>
              <w:t>包括但不限于①部署实施计划、②部署工作流程、③部署后测试评估等。 1、部署实施计划合理、部署工作流程清晰、部署后测试评估全面详细得(8-10]分； 2、部署实施计划较合理、部署工作流程较清晰、部署后测试评估较全面较详细得(6-8]分； 3、部署实施计划基本合理、部署工作流程基本清晰、部署后测试评估基本全面详细得(4-6]分； 4、部署实施计划不合理、部署工作流程不清晰、部署后测试评估不全面得(0-4]分； 5、未提供部署实施方案不得分。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包括但不限于①项目人员配备情况、②组织管理、③专业搭配情况、④从业经验等。 1、项目人员配备合理，组织管理内容详细、条理清晰，专业搭配方案合理，团队人员从业经验丰富得(6-8]分； 2、项目人员配备较合理，组织管理内容较详细、条理较清晰，专业搭配方案较合理，团队人员从业经验较丰富得(4-6]分； 3、项目人员配备基本合理，组织管理内容基本详细、条理基本清晰，专业搭配方案基本合理，团队人员从业经验基本丰富得(2-4]分； 4、项目人员配备不合理，组织管理内容不详细、条理不清晰，专业搭配方案合不理，团队人员从业经验不丰富得(0-2]分； 5、未提供服务人员方案不得分。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运维维护方案</w:t>
            </w:r>
          </w:p>
        </w:tc>
        <w:tc>
          <w:tcPr>
            <w:tcW w:type="dxa" w:w="2492"/>
          </w:tcPr>
          <w:p>
            <w:pPr>
              <w:pStyle w:val="null3"/>
            </w:pPr>
            <w:r>
              <w:rPr>
                <w:rFonts w:ascii="仿宋_GB2312" w:hAnsi="仿宋_GB2312" w:cs="仿宋_GB2312" w:eastAsia="仿宋_GB2312"/>
              </w:rPr>
              <w:t>包括但不限于①运维内容、②运维计划、③故障应急处理、④系统升级等。 1、运维维护内容全面、运维计划科学合理、故障处理措施完善、软件升级方案明确得(6-8]分； 2、运维维护内容较全面、运维计划较科学较合理、故障处理措施较完善、软件升级方案较明确得(4-6]分； 3、运维维护内容基本全面、运维计划基本科学合理、故障处理措施基本完善、软件升级方案基本明确得(2-4]分； 4、运维维护内容不全面、运维计划不合理、故障处理措施不完善、软件升级方案不明确得(0-2]分； 5、未提供运维维护方案不得分。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包括但不限于①质量目标、②质量控制措施、③质量承诺等。 1、质量目标明确，质量控制措施完善，质量承诺详细得(5-6]分； 2、质量目标较明确，质量控制措施较完善，质量承诺较详细得(3-5]分； 3、质量目标基本明确，质量控制措施基本完善，质量承诺基本详细得(2-3]分； 4、质量目标不明确，质量控制措施不完善，质量承诺不详细得(0-2]分； 5、未提供质量保障方案不得分。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包括但不限于①培训目标、②培训内容、③培训方式、④培训人员 1、培训目标明确，培训内容全面，培训方式得当，培训人员安排合理得(4-5]分； 2、培训目标较明确，培训内容较全面，培训方式较得当、培训人员安排较合理得(3-4]分； 3、培训目标基本明确，培训内容基本全面，培训方式基本得当，培训人员安排基本合理得(2-3]分； 4、培训目标不明确，培训内容不全面，培训方式不得当，培训人员安排不合理得(0-2]分； 5、未提供培训方案不得分。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包括但不限于①售后服务方案、②售后服务承诺、③售后服务内容、④售后服务人员配备等。 1、售后服务方案切实可行，售后服务承诺明确，售后服务内容完整，售后服务人员配备合理得(4-5]分； 2、售后服务方案较可行，售后服务承诺较明确，售后服务内容较完整，售后服务人员配备较合理得(3-4]分； 3、售后服务方案基本可行，售后服务承诺基本明确，售后服务内容基本完整，售后服务人员配备基本合理得(2-3]分； 4、售后服务方案不可行，售后服务承诺不明确，售后服务内容不完整，售后服务人员配备不合理得(0-2]分； 5、未提供售后服务不得分。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供应商提供2022年1月1日以来独立承担过类似项目业绩，每个业绩计2分，最高计6分。 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满足磋商文件要求且最终报价最低的供应商的价格为磋商基准价得15分，其他各供应商的最终报价得分按下列公式计算：（磋商基准价/最终磋商报价）×15％×100。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详见附件：一般资格审查证明材料.docx</w:t>
      </w:r>
    </w:p>
    <w:p>
      <w:pPr>
        <w:pStyle w:val="null3"/>
        <w:ind w:firstLine="960"/>
      </w:pPr>
      <w:r>
        <w:rPr>
          <w:rFonts w:ascii="仿宋_GB2312" w:hAnsi="仿宋_GB2312" w:cs="仿宋_GB2312" w:eastAsia="仿宋_GB2312"/>
        </w:rPr>
        <w:t>详见附件：特殊资格审查资料.docx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