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版本号：GZH-ZB-20250804820250825001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网络安全防护平台项目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GZH-ZB-202508048</w:t>
      </w:r>
      <w:r>
        <w:br/>
      </w:r>
      <w:r>
        <w:br/>
      </w:r>
      <w:r>
        <w:br/>
      </w:r>
    </w:p>
    <w:p>
      <w:pPr>
        <w:pStyle w:val="null3"/>
        <w:jc w:val="center"/>
        <w:outlineLvl w:val="2"/>
      </w:pPr>
      <w:r>
        <w:rPr>
          <w:rFonts w:ascii="仿宋_GB2312" w:hAnsi="仿宋_GB2312" w:cs="仿宋_GB2312" w:eastAsia="仿宋_GB2312"/>
          <w:sz w:val="28"/>
          <w:b/>
        </w:rPr>
        <w:t>铜川市住房公积金管理中心</w:t>
      </w:r>
    </w:p>
    <w:p>
      <w:pPr>
        <w:pStyle w:val="null3"/>
        <w:jc w:val="center"/>
        <w:outlineLvl w:val="2"/>
      </w:pPr>
      <w:r>
        <w:rPr>
          <w:rFonts w:ascii="仿宋_GB2312" w:hAnsi="仿宋_GB2312" w:cs="仿宋_GB2312" w:eastAsia="仿宋_GB2312"/>
          <w:sz w:val="28"/>
          <w:b/>
        </w:rPr>
        <w:t>陕西国中恒工程项目管理有限公司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陕西国中恒工程项目管理有限公司</w:t>
      </w:r>
      <w:r>
        <w:rPr>
          <w:rFonts w:ascii="仿宋_GB2312" w:hAnsi="仿宋_GB2312" w:cs="仿宋_GB2312" w:eastAsia="仿宋_GB2312"/>
        </w:rPr>
        <w:t>（以下简称“代理机构”）受</w:t>
      </w:r>
      <w:r>
        <w:rPr>
          <w:rFonts w:ascii="仿宋_GB2312" w:hAnsi="仿宋_GB2312" w:cs="仿宋_GB2312" w:eastAsia="仿宋_GB2312"/>
        </w:rPr>
        <w:t>铜川市住房公积金管理中心</w:t>
      </w:r>
      <w:r>
        <w:rPr>
          <w:rFonts w:ascii="仿宋_GB2312" w:hAnsi="仿宋_GB2312" w:cs="仿宋_GB2312" w:eastAsia="仿宋_GB2312"/>
        </w:rPr>
        <w:t>委托，拟对</w:t>
      </w:r>
      <w:r>
        <w:rPr>
          <w:rFonts w:ascii="仿宋_GB2312" w:hAnsi="仿宋_GB2312" w:cs="仿宋_GB2312" w:eastAsia="仿宋_GB2312"/>
        </w:rPr>
        <w:t>网络安全防护平台项目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GZH-ZB-202508048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网络安全防护平台项目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网络安全等级保护第三级有关标准关于信息系统的基本要求，科学合理评估网络系统风险，建设符合铜川市公积金中心需求的网络安全防护平台，主要包括：态势分析与安全运营系统1套、APT安全监测系统1套、数据防泄漏系统1套、数据库审计与防护系统1套、安全运营服务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报告：①可提供2024年度经审计的财务报告（包含审计报告和审计报告中所涉及的财务报表和报表附注），②可提供2024年度供应商完整的全套财务报表（应当包括资产负债表、利润表、现金流量表、所有者权益变动表），③可提供截至响应文件提交截止日一年内银行出具的资信证明（以上三种形式的资料提供任何一种即可）。</w:t>
      </w:r>
    </w:p>
    <w:p>
      <w:pPr>
        <w:pStyle w:val="null3"/>
      </w:pPr>
      <w:r>
        <w:rPr>
          <w:rFonts w:ascii="仿宋_GB2312" w:hAnsi="仿宋_GB2312" w:cs="仿宋_GB2312" w:eastAsia="仿宋_GB2312"/>
        </w:rPr>
        <w:t>3、税收缴纳证明：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5、书面声明：提供具有履行本合同所必需的设备和专业技术能力的书面声明。</w:t>
      </w:r>
    </w:p>
    <w:p>
      <w:pPr>
        <w:pStyle w:val="null3"/>
      </w:pPr>
      <w:r>
        <w:rPr>
          <w:rFonts w:ascii="仿宋_GB2312" w:hAnsi="仿宋_GB2312" w:cs="仿宋_GB2312" w:eastAsia="仿宋_GB2312"/>
        </w:rPr>
        <w:t>6、信用记录：提供《供应商信用记录书面声明函》，供应商参加本次政府采购活动前三年内在经营活动中没有重大违法记录：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谈判文件中凡是需要法定代表人盖章之处，非法人单位的负责人均参照执行。法人的分支机构参与投标时，除提供《法定代表人（主要负责人）授权委托书》外，还须同时提供法人给分支机构出具的授权书。</w:t>
      </w:r>
    </w:p>
    <w:p>
      <w:pPr>
        <w:pStyle w:val="null3"/>
      </w:pPr>
      <w:r>
        <w:rPr>
          <w:rFonts w:ascii="仿宋_GB2312" w:hAnsi="仿宋_GB2312" w:cs="仿宋_GB2312" w:eastAsia="仿宋_GB2312"/>
        </w:rPr>
        <w:t>8、中国强制性认证：本次拟采购的LED显示屏须通过中国强制性认证（CCC认证），提供合格有效的中国强制性认证（CCC认证）证书。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铜川市住房公积金管理中心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铜川新区华原东道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0919-3286298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陕西国中恒工程项目管理有限公司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西安市北大街118号宏府大厦A座12F室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029-87361685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采购包1：835,500.00元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LED显示屏</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LED显示屏</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代理服务费收费标准：以成交金额为基数，参照国家计委颁发的《招标代理服务收费管理暂行办法》（计价格〔2002〕1980号）和财政部颁发的《政府采购代理机构管理暂行办法》 (财库〔2018〕2号) 的有关规定执行，不足6000元，按6000元计取。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铜川市住房公积金管理中心</w:t>
      </w:r>
      <w:r>
        <w:rPr>
          <w:rFonts w:ascii="仿宋_GB2312" w:hAnsi="仿宋_GB2312" w:cs="仿宋_GB2312" w:eastAsia="仿宋_GB2312"/>
        </w:rPr>
        <w:t>和</w:t>
      </w:r>
      <w:r>
        <w:rPr>
          <w:rFonts w:ascii="仿宋_GB2312" w:hAnsi="仿宋_GB2312" w:cs="仿宋_GB2312" w:eastAsia="仿宋_GB2312"/>
        </w:rPr>
        <w:t>陕西国中恒工程项目管理有限公司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铜川市住房公积金管理中心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陕西国中恒工程项目管理有限公司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铜川市住房公积金管理中心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陕西国中恒工程项目管理有限公司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本项目磋商文件、成交供应商响应文件、已签订的合同文本及国家/行业相关标准及规范等要求标准验收。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联系人：成璇</w:t>
      </w:r>
    </w:p>
    <w:p>
      <w:pPr>
        <w:pStyle w:val="null3"/>
      </w:pPr>
      <w:r>
        <w:rPr>
          <w:rFonts w:ascii="仿宋_GB2312" w:hAnsi="仿宋_GB2312" w:cs="仿宋_GB2312" w:eastAsia="仿宋_GB2312"/>
        </w:rPr>
        <w:t>联系电话：029-87361685</w:t>
      </w:r>
    </w:p>
    <w:p>
      <w:pPr>
        <w:pStyle w:val="null3"/>
      </w:pPr>
      <w:r>
        <w:rPr>
          <w:rFonts w:ascii="仿宋_GB2312" w:hAnsi="仿宋_GB2312" w:cs="仿宋_GB2312" w:eastAsia="仿宋_GB2312"/>
        </w:rPr>
        <w:t>地址：西安市北大街118号宏府大厦A座12F室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网络安全等级保护第三级有关标准关于信息系统的基本要求，科学合理评估网络系统风险，建设符合铜川市公积金中心需求的网络安全防护平台，主要包括：态势分析与安全运营系统1套、APT安全监测系统1套、数据防泄漏系统1套、数据库审计与防护系统1套、安全运营服务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835,500.00</w:t>
      </w:r>
    </w:p>
    <w:p>
      <w:pPr>
        <w:pStyle w:val="null3"/>
      </w:pPr>
      <w:r>
        <w:rPr>
          <w:rFonts w:ascii="仿宋_GB2312" w:hAnsi="仿宋_GB2312" w:cs="仿宋_GB2312" w:eastAsia="仿宋_GB2312"/>
        </w:rPr>
        <w:t>采购包最高限价（元）: 835,500.00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835500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835,500.00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标的名称：835500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7"/>
              <w:gridCol w:w="470"/>
              <w:gridCol w:w="2728"/>
              <w:gridCol w:w="210"/>
              <w:gridCol w:w="210"/>
            </w:tblGrid>
            <w:tr>
              <w:tc>
                <w:tcPr>
                  <w:tcW w:type="dxa" w:w="20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系统（设备）名称</w:t>
                  </w:r>
                </w:p>
              </w:tc>
              <w:tc>
                <w:tcPr>
                  <w:tcW w:type="dxa" w:w="27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建设内容及参数</w:t>
                  </w:r>
                </w:p>
              </w:tc>
              <w:tc>
                <w:tcPr>
                  <w:tcW w:type="dxa" w:w="2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计量</w:t>
                  </w:r>
                </w:p>
              </w:tc>
              <w:tc>
                <w:tcPr>
                  <w:tcW w:type="dxa" w:w="2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07"/>
                  <w:vMerge/>
                  <w:tcBorders>
                    <w:top w:val="single" w:color="000000" w:sz="4"/>
                    <w:left w:val="single" w:color="000000" w:sz="4"/>
                    <w:bottom w:val="single" w:color="000000" w:sz="4"/>
                    <w:right w:val="single" w:color="000000" w:sz="4"/>
                  </w:tcBorders>
                </w:tcPr>
                <w:p/>
              </w:tc>
              <w:tc>
                <w:tcPr>
                  <w:tcW w:type="dxa" w:w="470"/>
                  <w:vMerge/>
                  <w:tcBorders>
                    <w:top w:val="single" w:color="000000" w:sz="4"/>
                    <w:left w:val="none" w:color="000000" w:sz="4"/>
                    <w:bottom w:val="single" w:color="000000" w:sz="4"/>
                    <w:right w:val="single" w:color="000000" w:sz="4"/>
                  </w:tcBorders>
                </w:tcPr>
                <w:p/>
              </w:tc>
              <w:tc>
                <w:tcPr>
                  <w:tcW w:type="dxa" w:w="2728"/>
                  <w:vMerge/>
                  <w:tcBorders>
                    <w:top w:val="single" w:color="000000" w:sz="4"/>
                    <w:left w:val="none" w:color="000000" w:sz="4"/>
                    <w:bottom w:val="single" w:color="000000" w:sz="4"/>
                    <w:right w:val="single" w:color="000000" w:sz="4"/>
                  </w:tcBorders>
                </w:tcPr>
                <w:p/>
              </w:tc>
              <w:tc>
                <w:tcPr>
                  <w:tcW w:type="dxa" w:w="210"/>
                  <w:vMerge/>
                  <w:tcBorders>
                    <w:top w:val="single" w:color="000000" w:sz="4"/>
                    <w:left w:val="none" w:color="000000" w:sz="4"/>
                    <w:bottom w:val="single" w:color="000000" w:sz="4"/>
                    <w:right w:val="single" w:color="000000" w:sz="4"/>
                  </w:tcBorders>
                </w:tcPr>
                <w:p/>
              </w:tc>
              <w:tc>
                <w:tcPr>
                  <w:tcW w:type="dxa" w:w="210"/>
                  <w:vMerge/>
                  <w:tcBorders>
                    <w:top w:val="single" w:color="000000" w:sz="4"/>
                    <w:left w:val="none" w:color="000000" w:sz="4"/>
                    <w:bottom w:val="single" w:color="000000" w:sz="4"/>
                    <w:right w:val="single" w:color="000000" w:sz="4"/>
                  </w:tcBorders>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态势分析与安全运营系统</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态势分析与安全运营系统：态势分析与安全运营系统基于大数据架构，</w:t>
                  </w:r>
                  <w:r>
                    <w:rPr>
                      <w:rFonts w:ascii="仿宋_GB2312" w:hAnsi="仿宋_GB2312" w:cs="仿宋_GB2312" w:eastAsia="仿宋_GB2312"/>
                      <w:sz w:val="21"/>
                    </w:rPr>
                    <w:t>包含多种配套探针设备（如网络流量探针、主机安全探针等），并支持联合第三方探针设备，</w:t>
                  </w:r>
                  <w:r>
                    <w:rPr>
                      <w:rFonts w:ascii="仿宋_GB2312" w:hAnsi="仿宋_GB2312" w:cs="仿宋_GB2312" w:eastAsia="仿宋_GB2312"/>
                      <w:sz w:val="21"/>
                    </w:rPr>
                    <w:t>运用主被动采集方式，实现多源异构的安全数据采集；通过检索、调查、场景、关联多类分析手段，实现海量安全数据深度分析；对日志、漏洞、性能进行实时监测及告警，并基于工单及安全响应编排预案，实现协同化、高效化的安全处置；采用主被动识别方式，发现和维护被管理网络的资产信息，建立资产关系拓扑；提供全面威胁情报库，对接外部威胁情报数据；从资产、漏洞、攻击、威胁、监测、处置等多个维度进行全面的态势分析展示。系统提供全网态势监测、网络攻击和安全威胁监测、风险漏洞预警、资产管理、日志监测管理、设备运行及策略管理、安全审计、知识情报等功能模块，提供</w:t>
                  </w:r>
                  <w:r>
                    <w:rPr>
                      <w:rFonts w:ascii="仿宋_GB2312" w:hAnsi="仿宋_GB2312" w:cs="仿宋_GB2312" w:eastAsia="仿宋_GB2312"/>
                      <w:sz w:val="21"/>
                    </w:rPr>
                    <w:t>≥30个日志源采集授权；提供≥3年精准威胁情报升级许可。提供加盖系统开发商公章的测试报告、产品说明书</w:t>
                  </w:r>
                  <w:r>
                    <w:rPr>
                      <w:rFonts w:ascii="仿宋_GB2312" w:hAnsi="仿宋_GB2312" w:cs="仿宋_GB2312" w:eastAsia="仿宋_GB2312"/>
                      <w:sz w:val="21"/>
                    </w:rPr>
                    <w:t>、</w:t>
                  </w:r>
                  <w:r>
                    <w:rPr>
                      <w:rFonts w:ascii="仿宋_GB2312" w:hAnsi="仿宋_GB2312" w:cs="仿宋_GB2312" w:eastAsia="仿宋_GB2312"/>
                      <w:sz w:val="21"/>
                    </w:rPr>
                    <w:t>质量证明书</w:t>
                  </w:r>
                  <w:r>
                    <w:rPr>
                      <w:rFonts w:ascii="仿宋_GB2312" w:hAnsi="仿宋_GB2312" w:cs="仿宋_GB2312" w:eastAsia="仿宋_GB2312"/>
                      <w:sz w:val="21"/>
                    </w:rPr>
                    <w:t>或承诺等相关证明文件。</w:t>
                  </w:r>
                  <w:r>
                    <w:br/>
                  </w:r>
                  <w:r>
                    <w:br/>
                  </w:r>
                  <w:r>
                    <w:rPr>
                      <w:rFonts w:ascii="仿宋_GB2312" w:hAnsi="仿宋_GB2312" w:cs="仿宋_GB2312" w:eastAsia="仿宋_GB2312"/>
                      <w:sz w:val="21"/>
                    </w:rPr>
                    <w:t>硬件设备：</w:t>
                  </w:r>
                  <w:r>
                    <w:rPr>
                      <w:rFonts w:ascii="仿宋_GB2312" w:hAnsi="仿宋_GB2312" w:cs="仿宋_GB2312" w:eastAsia="仿宋_GB2312"/>
                      <w:sz w:val="21"/>
                    </w:rPr>
                    <w:t>2U标准机架式设备，国产CPU*2(主频≥</w:t>
                  </w:r>
                  <w:r>
                    <w:rPr>
                      <w:rFonts w:ascii="仿宋_GB2312" w:hAnsi="仿宋_GB2312" w:cs="仿宋_GB2312" w:eastAsia="仿宋_GB2312"/>
                      <w:sz w:val="21"/>
                    </w:rPr>
                    <w:t>2.5</w:t>
                  </w:r>
                  <w:r>
                    <w:rPr>
                      <w:rFonts w:ascii="仿宋_GB2312" w:hAnsi="仿宋_GB2312" w:cs="仿宋_GB2312" w:eastAsia="仿宋_GB2312"/>
                      <w:sz w:val="21"/>
                    </w:rPr>
                    <w:t>GHz ，≥</w:t>
                  </w:r>
                  <w:r>
                    <w:rPr>
                      <w:rFonts w:ascii="仿宋_GB2312" w:hAnsi="仿宋_GB2312" w:cs="仿宋_GB2312" w:eastAsia="仿宋_GB2312"/>
                      <w:sz w:val="21"/>
                    </w:rPr>
                    <w:t>16</w:t>
                  </w:r>
                  <w:r>
                    <w:rPr>
                      <w:rFonts w:ascii="仿宋_GB2312" w:hAnsi="仿宋_GB2312" w:cs="仿宋_GB2312" w:eastAsia="仿宋_GB2312"/>
                      <w:sz w:val="21"/>
                    </w:rPr>
                    <w:t>核</w:t>
                  </w:r>
                  <w:r>
                    <w:rPr>
                      <w:rFonts w:ascii="仿宋_GB2312" w:hAnsi="仿宋_GB2312" w:cs="仿宋_GB2312" w:eastAsia="仿宋_GB2312"/>
                      <w:sz w:val="21"/>
                    </w:rPr>
                    <w:t>)；接口配置≥4个千兆电；≥4个万兆光口(含2个光模块)，</w:t>
                  </w:r>
                  <w:r>
                    <w:rPr>
                      <w:rFonts w:ascii="仿宋_GB2312" w:hAnsi="仿宋_GB2312" w:cs="仿宋_GB2312" w:eastAsia="仿宋_GB2312"/>
                      <w:sz w:val="21"/>
                    </w:rPr>
                    <w:t>具备液晶显示屏；</w:t>
                  </w:r>
                  <w:r>
                    <w:rPr>
                      <w:rFonts w:ascii="仿宋_GB2312" w:hAnsi="仿宋_GB2312" w:cs="仿宋_GB2312" w:eastAsia="仿宋_GB2312"/>
                      <w:sz w:val="21"/>
                    </w:rPr>
                    <w:t>冗余电源；系统盘</w:t>
                  </w:r>
                  <w:r>
                    <w:rPr>
                      <w:rFonts w:ascii="仿宋_GB2312" w:hAnsi="仿宋_GB2312" w:cs="仿宋_GB2312" w:eastAsia="仿宋_GB2312"/>
                      <w:sz w:val="21"/>
                    </w:rPr>
                    <w:t>≥240G SSD，存储硬盘≥</w:t>
                  </w:r>
                  <w:r>
                    <w:rPr>
                      <w:rFonts w:ascii="仿宋_GB2312" w:hAnsi="仿宋_GB2312" w:cs="仿宋_GB2312" w:eastAsia="仿宋_GB2312"/>
                      <w:sz w:val="21"/>
                    </w:rPr>
                    <w:t>48</w:t>
                  </w:r>
                  <w:r>
                    <w:rPr>
                      <w:rFonts w:ascii="仿宋_GB2312" w:hAnsi="仿宋_GB2312" w:cs="仿宋_GB2312" w:eastAsia="仿宋_GB2312"/>
                      <w:sz w:val="21"/>
                    </w:rPr>
                    <w:t>TB，内存≥128G；</w:t>
                  </w:r>
                  <w:r>
                    <w:rPr>
                      <w:rFonts w:ascii="仿宋_GB2312" w:hAnsi="仿宋_GB2312" w:cs="仿宋_GB2312" w:eastAsia="仿宋_GB2312"/>
                      <w:sz w:val="21"/>
                    </w:rPr>
                    <w:t>单台</w:t>
                  </w:r>
                  <w:r>
                    <w:rPr>
                      <w:rFonts w:ascii="仿宋_GB2312" w:hAnsi="仿宋_GB2312" w:cs="仿宋_GB2312" w:eastAsia="仿宋_GB2312"/>
                      <w:sz w:val="21"/>
                    </w:rPr>
                    <w:t>性能</w:t>
                  </w:r>
                  <w:r>
                    <w:rPr>
                      <w:rFonts w:ascii="仿宋_GB2312" w:hAnsi="仿宋_GB2312" w:cs="仿宋_GB2312" w:eastAsia="仿宋_GB2312"/>
                      <w:sz w:val="21"/>
                    </w:rPr>
                    <w:t>≥</w:t>
                  </w:r>
                  <w:r>
                    <w:rPr>
                      <w:rFonts w:ascii="仿宋_GB2312" w:hAnsi="仿宋_GB2312" w:cs="仿宋_GB2312" w:eastAsia="仿宋_GB2312"/>
                      <w:sz w:val="21"/>
                    </w:rPr>
                    <w:t>8000EPS</w:t>
                  </w:r>
                  <w:r>
                    <w:rPr>
                      <w:rFonts w:ascii="仿宋_GB2312" w:hAnsi="仿宋_GB2312" w:cs="仿宋_GB2312" w:eastAsia="仿宋_GB2312"/>
                      <w:sz w:val="21"/>
                    </w:rPr>
                    <w:t>；支持</w:t>
                  </w:r>
                  <w:r>
                    <w:rPr>
                      <w:rFonts w:ascii="仿宋_GB2312" w:hAnsi="仿宋_GB2312" w:cs="仿宋_GB2312" w:eastAsia="仿宋_GB2312"/>
                      <w:sz w:val="21"/>
                    </w:rPr>
                    <w:t>10亿条数据秒级检索响应。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APT安全监测系统</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PT安全监测系统：集检测、研判、处置为一体，具备网络攻击检测、僵尸主机检测、WEB攻击检测、DDoS攻击检测、威胁情报检测、恶意文件检测、加密流量检测、高级威胁检测、未知威胁检测等功能，能够检测各种已知和未知威胁。支持从事件、攻击者、受害者等不同角度分析研判，能够从海量告警中发现高价值威胁事件，并通过设备本身或联动其它安全产品实时响应处置。含≥3年特征库升级许可，包含攻击检测规则库、应用识别库、地理信息库、僵尸主机规则库、威胁情报库。提供加盖系统开发商公章的测试报告、产品说明书</w:t>
                  </w:r>
                  <w:r>
                    <w:rPr>
                      <w:rFonts w:ascii="仿宋_GB2312" w:hAnsi="仿宋_GB2312" w:cs="仿宋_GB2312" w:eastAsia="仿宋_GB2312"/>
                      <w:sz w:val="21"/>
                    </w:rPr>
                    <w:t>、</w:t>
                  </w:r>
                  <w:r>
                    <w:rPr>
                      <w:rFonts w:ascii="仿宋_GB2312" w:hAnsi="仿宋_GB2312" w:cs="仿宋_GB2312" w:eastAsia="仿宋_GB2312"/>
                      <w:sz w:val="21"/>
                    </w:rPr>
                    <w:t>质量证明书</w:t>
                  </w:r>
                  <w:r>
                    <w:rPr>
                      <w:rFonts w:ascii="仿宋_GB2312" w:hAnsi="仿宋_GB2312" w:cs="仿宋_GB2312" w:eastAsia="仿宋_GB2312"/>
                      <w:sz w:val="21"/>
                    </w:rPr>
                    <w:t>或承诺等相关证明文件。</w:t>
                  </w:r>
                  <w:r>
                    <w:br/>
                  </w:r>
                </w:p>
                <w:p>
                  <w:pPr>
                    <w:pStyle w:val="null3"/>
                    <w:jc w:val="both"/>
                  </w:pPr>
                  <w:r>
                    <w:rPr>
                      <w:rFonts w:ascii="仿宋_GB2312" w:hAnsi="仿宋_GB2312" w:cs="仿宋_GB2312" w:eastAsia="仿宋_GB2312"/>
                      <w:sz w:val="21"/>
                    </w:rPr>
                    <w:t>硬件设备：</w:t>
                  </w:r>
                  <w:r>
                    <w:rPr>
                      <w:rFonts w:ascii="仿宋_GB2312" w:hAnsi="仿宋_GB2312" w:cs="仿宋_GB2312" w:eastAsia="仿宋_GB2312"/>
                      <w:sz w:val="21"/>
                    </w:rPr>
                    <w:t>2U标准机架式设备，国产CPU*2(≥</w:t>
                  </w:r>
                  <w:r>
                    <w:rPr>
                      <w:rFonts w:ascii="仿宋_GB2312" w:hAnsi="仿宋_GB2312" w:cs="仿宋_GB2312" w:eastAsia="仿宋_GB2312"/>
                      <w:sz w:val="21"/>
                    </w:rPr>
                    <w:t>2.5</w:t>
                  </w:r>
                  <w:r>
                    <w:rPr>
                      <w:rFonts w:ascii="仿宋_GB2312" w:hAnsi="仿宋_GB2312" w:cs="仿宋_GB2312" w:eastAsia="仿宋_GB2312"/>
                      <w:sz w:val="21"/>
                    </w:rPr>
                    <w:t>GHz，≥</w:t>
                  </w:r>
                  <w:r>
                    <w:rPr>
                      <w:rFonts w:ascii="仿宋_GB2312" w:hAnsi="仿宋_GB2312" w:cs="仿宋_GB2312" w:eastAsia="仿宋_GB2312"/>
                      <w:sz w:val="21"/>
                    </w:rPr>
                    <w:t>16</w:t>
                  </w:r>
                  <w:r>
                    <w:rPr>
                      <w:rFonts w:ascii="仿宋_GB2312" w:hAnsi="仿宋_GB2312" w:cs="仿宋_GB2312" w:eastAsia="仿宋_GB2312"/>
                      <w:sz w:val="21"/>
                    </w:rPr>
                    <w:t>核</w:t>
                  </w:r>
                  <w:r>
                    <w:rPr>
                      <w:rFonts w:ascii="仿宋_GB2312" w:hAnsi="仿宋_GB2312" w:cs="仿宋_GB2312" w:eastAsia="仿宋_GB2312"/>
                      <w:sz w:val="21"/>
                    </w:rPr>
                    <w:t>)；内存≥128G，系统盘≥</w:t>
                  </w:r>
                  <w:r>
                    <w:rPr>
                      <w:rFonts w:ascii="仿宋_GB2312" w:hAnsi="仿宋_GB2312" w:cs="仿宋_GB2312" w:eastAsia="仿宋_GB2312"/>
                      <w:sz w:val="21"/>
                    </w:rPr>
                    <w:t>128</w:t>
                  </w:r>
                  <w:r>
                    <w:rPr>
                      <w:rFonts w:ascii="仿宋_GB2312" w:hAnsi="仿宋_GB2312" w:cs="仿宋_GB2312" w:eastAsia="仿宋_GB2312"/>
                      <w:sz w:val="21"/>
                    </w:rPr>
                    <w:t>G SSD硬盘，数据盘≥</w:t>
                  </w:r>
                  <w:r>
                    <w:rPr>
                      <w:rFonts w:ascii="仿宋_GB2312" w:hAnsi="仿宋_GB2312" w:cs="仿宋_GB2312" w:eastAsia="仿宋_GB2312"/>
                      <w:sz w:val="21"/>
                    </w:rPr>
                    <w:t>64</w:t>
                  </w:r>
                  <w:r>
                    <w:rPr>
                      <w:rFonts w:ascii="仿宋_GB2312" w:hAnsi="仿宋_GB2312" w:cs="仿宋_GB2312" w:eastAsia="仿宋_GB2312"/>
                      <w:sz w:val="21"/>
                    </w:rPr>
                    <w:t>TB SATA；接口配置≥</w:t>
                  </w:r>
                  <w:r>
                    <w:rPr>
                      <w:rFonts w:ascii="仿宋_GB2312" w:hAnsi="仿宋_GB2312" w:cs="仿宋_GB2312" w:eastAsia="仿宋_GB2312"/>
                      <w:sz w:val="21"/>
                    </w:rPr>
                    <w:t>4</w:t>
                  </w:r>
                  <w:r>
                    <w:rPr>
                      <w:rFonts w:ascii="仿宋_GB2312" w:hAnsi="仿宋_GB2312" w:cs="仿宋_GB2312" w:eastAsia="仿宋_GB2312"/>
                      <w:sz w:val="21"/>
                    </w:rPr>
                    <w:t>个千兆电口，</w:t>
                  </w:r>
                  <w:r>
                    <w:rPr>
                      <w:rFonts w:ascii="仿宋_GB2312" w:hAnsi="仿宋_GB2312" w:cs="仿宋_GB2312" w:eastAsia="仿宋_GB2312"/>
                      <w:sz w:val="21"/>
                    </w:rPr>
                    <w:t>≥2个万兆光口插槽，冗余电源，≥</w:t>
                  </w:r>
                  <w:r>
                    <w:rPr>
                      <w:rFonts w:ascii="仿宋_GB2312" w:hAnsi="仿宋_GB2312" w:cs="仿宋_GB2312" w:eastAsia="仿宋_GB2312"/>
                      <w:sz w:val="21"/>
                    </w:rPr>
                    <w:t>2</w:t>
                  </w:r>
                  <w:r>
                    <w:rPr>
                      <w:rFonts w:ascii="仿宋_GB2312" w:hAnsi="仿宋_GB2312" w:cs="仿宋_GB2312" w:eastAsia="仿宋_GB2312"/>
                      <w:sz w:val="21"/>
                    </w:rPr>
                    <w:t>个扩展槽位；</w:t>
                  </w:r>
                  <w:r>
                    <w:rPr>
                      <w:rFonts w:ascii="仿宋_GB2312" w:hAnsi="仿宋_GB2312" w:cs="仿宋_GB2312" w:eastAsia="仿宋_GB2312"/>
                      <w:sz w:val="21"/>
                    </w:rPr>
                    <w:t>APT性能：≥5Gbps，探针性能：≥10Gbps，并发连接≥100W，新建连接≥5W/S；静态检测：≥20万样本/天，动态检测：≥2000样本/天； 提供≥3年攻击检测规则库、应用识别库、地理信息库、僵尸主机规则库、威胁情报库。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数据防泄漏系统</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防泄漏系统：支持纯透明代理、路由、探针等多种部署模式。系统基于深度内容识别技术，通过内置关键字、指纹库、数据标识符、权重词典、机器聚类等多种敏感数据定义手段，对抓取到的传输数据进行过滤，发现并监控敏感数据，确保敏感数据的合规使用。同时还适用于</w:t>
                  </w:r>
                  <w:r>
                    <w:rPr>
                      <w:rFonts w:ascii="仿宋_GB2312" w:hAnsi="仿宋_GB2312" w:cs="仿宋_GB2312" w:eastAsia="仿宋_GB2312"/>
                      <w:sz w:val="21"/>
                    </w:rPr>
                    <w:t>IPV4、IPV6、云计算等多种场景，对敏感数据实施事中、事后的全面保护与审计，保障数据全生命周期的安全流转。提供加盖系统开发商公章的测试报告、产品说明书</w:t>
                  </w:r>
                  <w:r>
                    <w:rPr>
                      <w:rFonts w:ascii="仿宋_GB2312" w:hAnsi="仿宋_GB2312" w:cs="仿宋_GB2312" w:eastAsia="仿宋_GB2312"/>
                      <w:sz w:val="21"/>
                    </w:rPr>
                    <w:t>、</w:t>
                  </w:r>
                  <w:r>
                    <w:rPr>
                      <w:rFonts w:ascii="仿宋_GB2312" w:hAnsi="仿宋_GB2312" w:cs="仿宋_GB2312" w:eastAsia="仿宋_GB2312"/>
                      <w:sz w:val="21"/>
                    </w:rPr>
                    <w:t>质量证明书</w:t>
                  </w:r>
                  <w:r>
                    <w:rPr>
                      <w:rFonts w:ascii="仿宋_GB2312" w:hAnsi="仿宋_GB2312" w:cs="仿宋_GB2312" w:eastAsia="仿宋_GB2312"/>
                      <w:sz w:val="21"/>
                    </w:rPr>
                    <w:t>或承诺等相关证明文件。</w:t>
                  </w:r>
                  <w:r>
                    <w:br/>
                  </w:r>
                  <w:r>
                    <w:br/>
                  </w:r>
                  <w:r>
                    <w:rPr>
                      <w:rFonts w:ascii="仿宋_GB2312" w:hAnsi="仿宋_GB2312" w:cs="仿宋_GB2312" w:eastAsia="仿宋_GB2312"/>
                      <w:sz w:val="21"/>
                    </w:rPr>
                    <w:t>硬件设备：</w:t>
                  </w:r>
                  <w:r>
                    <w:rPr>
                      <w:rFonts w:ascii="仿宋_GB2312" w:hAnsi="仿宋_GB2312" w:cs="仿宋_GB2312" w:eastAsia="仿宋_GB2312"/>
                      <w:sz w:val="21"/>
                    </w:rPr>
                    <w:t>2U标准机架式设备国产CPU（≥2.8GHz，≥8核）；内存≥64G、硬盘≥4T；接口配置≥6个千兆电口、≥4个千兆光口；</w:t>
                  </w:r>
                  <w:r>
                    <w:rPr>
                      <w:rFonts w:ascii="仿宋_GB2312" w:hAnsi="仿宋_GB2312" w:cs="仿宋_GB2312" w:eastAsia="仿宋_GB2312"/>
                      <w:sz w:val="21"/>
                    </w:rPr>
                    <w:t>具备液晶显示屏；</w:t>
                  </w:r>
                  <w:r>
                    <w:rPr>
                      <w:rFonts w:ascii="仿宋_GB2312" w:hAnsi="仿宋_GB2312" w:cs="仿宋_GB2312" w:eastAsia="仿宋_GB2312"/>
                      <w:sz w:val="21"/>
                    </w:rPr>
                    <w:t>冗余电源；</w:t>
                  </w:r>
                  <w:r>
                    <w:rPr>
                      <w:rFonts w:ascii="仿宋_GB2312" w:hAnsi="仿宋_GB2312" w:cs="仿宋_GB2312" w:eastAsia="仿宋_GB2312"/>
                      <w:sz w:val="21"/>
                    </w:rPr>
                    <w:t>7层最大吞吐≥2.5Gbps（单条策略测试性能）、7层检测吞吐≥1Gbps（多条策略测试性能）；提供网络监控和网络阻断功能。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数据库审计与防护系统</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库审计与防护系统：是一套专业的、主动、实时保护数据库安全的系统。具有数据库状态监控、数据库审计、数据库风险扫描、访问控制等多种引擎，具有实时监管数据库访问行为功能。实现了对数据库访问行为灵活的控制，高危操作的拦截，可疑行为的监控，安全风险的审计。提供数据库实时监控、数据库风险预警、数据库威胁阻断等功能，是保护数据库安全的最后一道防线。提供加盖系统开发商公章的测试报告、产品说明书</w:t>
                  </w:r>
                  <w:r>
                    <w:rPr>
                      <w:rFonts w:ascii="仿宋_GB2312" w:hAnsi="仿宋_GB2312" w:cs="仿宋_GB2312" w:eastAsia="仿宋_GB2312"/>
                      <w:sz w:val="21"/>
                    </w:rPr>
                    <w:t>、</w:t>
                  </w:r>
                  <w:r>
                    <w:rPr>
                      <w:rFonts w:ascii="仿宋_GB2312" w:hAnsi="仿宋_GB2312" w:cs="仿宋_GB2312" w:eastAsia="仿宋_GB2312"/>
                      <w:sz w:val="21"/>
                    </w:rPr>
                    <w:t>质量证明书</w:t>
                  </w:r>
                  <w:r>
                    <w:rPr>
                      <w:rFonts w:ascii="仿宋_GB2312" w:hAnsi="仿宋_GB2312" w:cs="仿宋_GB2312" w:eastAsia="仿宋_GB2312"/>
                      <w:sz w:val="21"/>
                    </w:rPr>
                    <w:t>或承诺等相关证明文件。</w:t>
                  </w:r>
                  <w:r>
                    <w:br/>
                  </w:r>
                  <w:r>
                    <w:br/>
                  </w:r>
                  <w:r>
                    <w:rPr>
                      <w:rFonts w:ascii="仿宋_GB2312" w:hAnsi="仿宋_GB2312" w:cs="仿宋_GB2312" w:eastAsia="仿宋_GB2312"/>
                      <w:sz w:val="21"/>
                    </w:rPr>
                    <w:t>硬件设备：</w:t>
                  </w:r>
                  <w:r>
                    <w:rPr>
                      <w:rFonts w:ascii="仿宋_GB2312" w:hAnsi="仿宋_GB2312" w:cs="仿宋_GB2312" w:eastAsia="仿宋_GB2312"/>
                      <w:sz w:val="21"/>
                    </w:rPr>
                    <w:t>2U标准机架式设备，CPU国产CPU（≥2.8GHz，≥8核）；</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32G;</w:t>
                  </w:r>
                  <w:r>
                    <w:rPr>
                      <w:rFonts w:ascii="仿宋_GB2312" w:hAnsi="仿宋_GB2312" w:cs="仿宋_GB2312" w:eastAsia="仿宋_GB2312"/>
                      <w:sz w:val="21"/>
                    </w:rPr>
                    <w:t>硬盘</w:t>
                  </w:r>
                  <w:r>
                    <w:rPr>
                      <w:rFonts w:ascii="仿宋_GB2312" w:hAnsi="仿宋_GB2312" w:cs="仿宋_GB2312" w:eastAsia="仿宋_GB2312"/>
                      <w:sz w:val="21"/>
                    </w:rPr>
                    <w:t>≥4T；接口配置≥6个千兆电口，≥4个千兆光口；冗余电源，网络吞吐率≥5Gbps，数据库吞吐≥1Gbps；峰值SQL处理能力≥22000条/秒，日处理事件数≥4000万条。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LED全彩显示屏</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网络安全防护平台需配备部署一块综合性监控</w:t>
                  </w:r>
                  <w:r>
                    <w:rPr>
                      <w:rFonts w:ascii="仿宋_GB2312" w:hAnsi="仿宋_GB2312" w:cs="仿宋_GB2312" w:eastAsia="仿宋_GB2312"/>
                      <w:sz w:val="21"/>
                    </w:rPr>
                    <w:t>LED全彩显示屏，用于展示多源数据信息。显示屏尺寸≥100英寸；像素间距≥1.66mm；安装方式：室内固装。</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安全运营服务（</w:t>
                  </w:r>
                  <w:r>
                    <w:rPr>
                      <w:rFonts w:ascii="仿宋_GB2312" w:hAnsi="仿宋_GB2312" w:cs="仿宋_GB2312" w:eastAsia="仿宋_GB2312"/>
                      <w:sz w:val="21"/>
                    </w:rPr>
                    <w:t>3年）</w:t>
                  </w:r>
                </w:p>
              </w:tc>
              <w:tc>
                <w:tcPr>
                  <w:tcW w:type="dxa" w:w="2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周期性安全巡检服务：服务期内每季度提供1次安全设备巡检服务，周期性对部署的安全设备进行监控巡检，包括但不限于CPU、内存、用户、许可证书、防护日志等，对发现的安全事件进行跟踪、分析、上报和处理。对安全设备、安全平台的日志、告警数据进行专项分析研判，并且对探针采集的数据进行分析，处理异常情况。提供加盖供应商公章的承诺函。</w:t>
                  </w:r>
                </w:p>
                <w:p>
                  <w:pPr>
                    <w:pStyle w:val="null3"/>
                    <w:jc w:val="both"/>
                  </w:pPr>
                  <w:r>
                    <w:rPr>
                      <w:rFonts w:ascii="仿宋_GB2312" w:hAnsi="仿宋_GB2312" w:cs="仿宋_GB2312" w:eastAsia="仿宋_GB2312"/>
                      <w:sz w:val="21"/>
                    </w:rPr>
                    <w:t>2.★常态化漏洞扫描服务：服务期内每季度提供1次漏洞扫描服务，安全服务人员通过工具+人工的方式对甲方资产进行全面、深入的漏洞检测。将包含网络设备、安全设备、主机系统、web应用、数据库系统等利用漏洞检测工具进行漏洞检测，检测完成后进行高风险漏洞验证，并提出专业的漏洞安全解决方案和建议，并协助整改。提供加盖供应商公章的承诺函。</w:t>
                  </w:r>
                </w:p>
                <w:p>
                  <w:pPr>
                    <w:pStyle w:val="null3"/>
                    <w:jc w:val="both"/>
                  </w:pPr>
                  <w:r>
                    <w:rPr>
                      <w:rFonts w:ascii="仿宋_GB2312" w:hAnsi="仿宋_GB2312" w:cs="仿宋_GB2312" w:eastAsia="仿宋_GB2312"/>
                      <w:sz w:val="21"/>
                    </w:rPr>
                    <w:t>3.★渗透测试：服务安全服务人员对甲方的重要业务系统进行全方位的渗透测试评估，对发现的弱口令、安全漏洞验证是否可以获取系统主机控制权、应用系统控制权、数据库数据、验证是否可以通过系统做跳板可以入侵内网。渗透点（包括但不限于）操作系统漏洞、数据库系统漏洞、Web服务漏洞、中间件漏洞、网络设备漏洞、Ftp服务漏洞、远程控制漏洞、网络边界漏洞、信任机制漏洞、恶意代码漏洞、缓冲区溢出、账号密码弱口令测试、ARP欺骗测试和其他方式的测试手段。最终出具详细的渗透测试流程及渗透测试报告，并提供整改优化建议。每半年开展1次。提供加盖供应商公章的承诺函。</w:t>
                  </w:r>
                </w:p>
                <w:p>
                  <w:pPr>
                    <w:pStyle w:val="null3"/>
                    <w:jc w:val="both"/>
                  </w:pPr>
                  <w:r>
                    <w:rPr>
                      <w:rFonts w:ascii="仿宋_GB2312" w:hAnsi="仿宋_GB2312" w:cs="仿宋_GB2312" w:eastAsia="仿宋_GB2312"/>
                      <w:sz w:val="21"/>
                    </w:rPr>
                    <w:t>4.★突发安全事件应急响应服务：服务期内协助甲方对发生的国内重大、重要事件以及全网突发的重大安全事件提供7*24小时线上+线下的应急支持服务。在安全事件发生后，及时对异常的系统、网络进行分析，确定安全事件的各项技术细节，保留相关证据并制定进一步的响应策略；及时采取行动限制安全事件扩散和影响的范围，限制潜在的损失与破坏，保障系统正常运行；事后要通过对有关安全事件或异常行为的分析结果，找出根源，明确相应的补救措施并协助完成彻底清除；协助恢复安全事件所涉及的系统，并还原到正常状态，使业务能够正常运行。每年不少于3次。提供加盖供应商公章的承诺函。</w:t>
                  </w:r>
                </w:p>
                <w:p>
                  <w:pPr>
                    <w:pStyle w:val="null3"/>
                    <w:jc w:val="both"/>
                  </w:pPr>
                  <w:r>
                    <w:rPr>
                      <w:rFonts w:ascii="仿宋_GB2312" w:hAnsi="仿宋_GB2312" w:cs="仿宋_GB2312" w:eastAsia="仿宋_GB2312"/>
                      <w:sz w:val="21"/>
                    </w:rPr>
                    <w:t>5.★重大活动安全保障服务：服务期内提供1名具备丰富护网与重保实战经验的安全专家配合现场人员开展监控值守与保障总结工作，全面保障在重要时期不发生重大网络安全事件，高效顺利的完成保障任务。保障时间不少于15人天。提供加盖供应商公章的承诺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年</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6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c>
                <w:tcPr>
                  <w:tcW w:type="dxa" w:w="31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1.★以上（1-5项）软硬件须提供不少于3年的制造商（或开发商）维保服务。提供加盖制造商（或开发商）公章的承诺函。</w:t>
                  </w:r>
                </w:p>
                <w:p>
                  <w:pPr>
                    <w:pStyle w:val="null3"/>
                    <w:jc w:val="both"/>
                  </w:pPr>
                  <w:r>
                    <w:rPr>
                      <w:rFonts w:ascii="仿宋_GB2312" w:hAnsi="仿宋_GB2312" w:cs="仿宋_GB2312" w:eastAsia="仿宋_GB2312"/>
                      <w:sz w:val="21"/>
                    </w:rPr>
                    <w:t>2.★</w:t>
                  </w:r>
                  <w:r>
                    <w:rPr>
                      <w:rFonts w:ascii="仿宋_GB2312" w:hAnsi="仿宋_GB2312" w:cs="仿宋_GB2312" w:eastAsia="仿宋_GB2312"/>
                      <w:sz w:val="19"/>
                    </w:rPr>
                    <w:t>以上（1-5项）需适配铜川市公积金中心现有网络、安全设备，供应商须提供</w:t>
                  </w:r>
                  <w:r>
                    <w:rPr>
                      <w:rFonts w:ascii="仿宋_GB2312" w:hAnsi="仿宋_GB2312" w:cs="仿宋_GB2312" w:eastAsia="仿宋_GB2312"/>
                      <w:sz w:val="21"/>
                    </w:rPr>
                    <w:t>加盖制造商（或开发商）公章的</w:t>
                  </w:r>
                  <w:r>
                    <w:rPr>
                      <w:rFonts w:ascii="仿宋_GB2312" w:hAnsi="仿宋_GB2312" w:cs="仿宋_GB2312" w:eastAsia="仿宋_GB2312"/>
                      <w:sz w:val="19"/>
                    </w:rPr>
                    <w:t>《兼容性测试承诺书》，承诺中标后 15 日内完成与现有系统的兼容性测试，测试不通过需无偿调整方案。</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严格按照本项目磋商文件、成交供应商响应文件、已签订的合同文本及国家/行业相关标准及规范等要求标准验收。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项目验收合格后，按照财政决算评审金额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以《合同文本》为准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①可提供2024年度经审计的财务报告（包含审计报告和审计报告中所涉及的财务报表和报表附注），②可提供2024年度供应商完整的全套财务报表（应当包括资产负债表、利润表、现金流量表、所有者权益变动表），③可提供截至响应文件提交截止日一年内银行出具的资信证明（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参加本次政府采购活动前三年内在经营活动中没有重大违法记录：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谈判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中国强制性认证</w:t>
            </w:r>
          </w:p>
        </w:tc>
        <w:tc>
          <w:tcPr>
            <w:tcW w:type="dxa" w:w="3322"/>
          </w:tcPr>
          <w:p>
            <w:pPr>
              <w:pStyle w:val="null3"/>
            </w:pPr>
            <w:r>
              <w:rPr>
                <w:rFonts w:ascii="仿宋_GB2312" w:hAnsi="仿宋_GB2312" w:cs="仿宋_GB2312" w:eastAsia="仿宋_GB2312"/>
              </w:rPr>
              <w:t>本次拟采购的LED显示屏须通过中国强制性认证（CCC认证），提供合格有效的中国强制性认证（CCC认证）证书。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响应文件封面 合同文本条款响应.docx 标的清单 报价表 响应函 供应商承诺书.docx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 ；（2）报价符合唯一性要求； （3）未超出采购预算或最高限价 ；（4）符合《报价表》、《标的清单》及《分项报价表》的填报要求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完全理解并接受对合格供应商、合格的货物、工程或服务要求，结合磋商文件第三章“磋商项目技术、服务、商务及其他要求”的实质性要求且没有负偏离。</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对用户的采购需求进行全面分析，完全满足并提出优化措施计6分，基本满足用户需求计4分。不满足用户需求或未提供不得分。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根据供应商针对本项目提供的技术服务方案（包括但不限于平台功能设置、性能目标、日常维护、升级保障、运营服务等）进行综合比较。 技术服务方案内容全面、合理、可实施性强、框架清晰、与项目贴合性高，计12分； 技术服务方案内容较全面、合理、可实施性较强、框架较清晰，计8分； 技术服务方案内容不够全面、合理及可行、框架不够清晰，计4分；未提供不得分。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组织机构及工作计划安排</w:t>
            </w:r>
          </w:p>
        </w:tc>
        <w:tc>
          <w:tcPr>
            <w:tcW w:type="dxa" w:w="2492"/>
          </w:tcPr>
          <w:p>
            <w:pPr>
              <w:pStyle w:val="null3"/>
            </w:pPr>
            <w:r>
              <w:rPr>
                <w:rFonts w:ascii="仿宋_GB2312" w:hAnsi="仿宋_GB2312" w:cs="仿宋_GB2312" w:eastAsia="仿宋_GB2312"/>
              </w:rPr>
              <w:t>根据供应商提供的组织机构、工作计划安排以及服务时间响应情况进行综合比较。 组织机构完整、工作计划安排合理、服务响应及时且有效，计10分； 组织机构较较完整、工作计划安排较合理、服务响应及时欠有效，计7分； 方案组织机构不够完整、工作计划安排不合理、服务响应不及时，计4分。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针对本项目具有严格的项目质量管理措施、完善的质量保证管理体系。根据供应商提供的质量保证措施的完整性、合理性、可行性进行综合比较。 质量保证措施完整全面，合理性及可行性强，计10分； 质量保证措施较完整全面，合理性及可行性较强，计7分； 质量保证措施简单，不完整，合理性及可行性一般，计4分。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为确保系统正常良好的运行，供应商对服务范围内的系统制定应急处置方案，评估建设和运维中可能发生的突发状况，并制定行之有效、详细具体的故障处理方案及故障响应时间。 应急方案较全面、合理，可行，计6分； 应急方案较全面、较合理，较可行，计4分； 应急方案不全面，不合理，不可行，计1分。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拟派本项目的项目负责人具有软件类或信息类高级职称者得 3 分，中级职称得 2 分，初级职称得 1 分。 评审依据：提供拟派项目负责人的职称证书及响应截止前六个月任意连续3个月的社保证明材料的扫描件作为佐证材料，提供材料不全或不符合的不得分。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技术服务团队</w:t>
            </w:r>
          </w:p>
        </w:tc>
        <w:tc>
          <w:tcPr>
            <w:tcW w:type="dxa" w:w="2492"/>
          </w:tcPr>
          <w:p>
            <w:pPr>
              <w:pStyle w:val="null3"/>
            </w:pPr>
            <w:r>
              <w:rPr>
                <w:rFonts w:ascii="仿宋_GB2312" w:hAnsi="仿宋_GB2312" w:cs="仿宋_GB2312" w:eastAsia="仿宋_GB2312"/>
              </w:rPr>
              <w:t>技术服务团队（除项目负责人）组织架构完整，岗位设置合理、明确，投入人员专业性、经验性强，对本项目有针对性，得6分；技术服务团队（除项目负责人）组织架构基本完整，岗位设置基本合理，能够基本满足本项目采购要求，得4分；技术服务团队（除项目负责人）组织架构完善程度一般，人员岗位设置合理性一般，人员专业性、经验性一般，得2分。 评审依据：人员相关资格证书及缴纳近3个月的社保证明。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 2022年1月1日至今类似项目业绩，每提供一份得1分，最多得6分。 评审依据：提供合同复印件加盖公章。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业绩汇总表.docx</w:t>
            </w:r>
          </w:p>
        </w:tc>
      </w:tr>
      <w:tr>
        <w:tc>
          <w:tcPr>
            <w:tcW w:type="dxa" w:w="831"/>
            <w:vMerge/>
          </w:tcPr>
          <w:p/>
        </w:tc>
        <w:tc>
          <w:tcPr>
            <w:tcW w:type="dxa" w:w="1661"/>
          </w:tcPr>
          <w:p>
            <w:pPr>
              <w:pStyle w:val="null3"/>
            </w:pPr>
            <w:r>
              <w:rPr>
                <w:rFonts w:ascii="仿宋_GB2312" w:hAnsi="仿宋_GB2312" w:cs="仿宋_GB2312" w:eastAsia="仿宋_GB2312"/>
              </w:rPr>
              <w:t>软件著作权登记证书</w:t>
            </w:r>
          </w:p>
        </w:tc>
        <w:tc>
          <w:tcPr>
            <w:tcW w:type="dxa" w:w="2492"/>
          </w:tcPr>
          <w:p>
            <w:pPr>
              <w:pStyle w:val="null3"/>
            </w:pPr>
            <w:r>
              <w:rPr>
                <w:rFonts w:ascii="仿宋_GB2312" w:hAnsi="仿宋_GB2312" w:cs="仿宋_GB2312" w:eastAsia="仿宋_GB2312"/>
              </w:rPr>
              <w:t>主要产品系统（1-4项）具备软件著作权登记证书的，每个系统得0.5分，最高得2分。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主要产品系统资质</w:t>
            </w:r>
          </w:p>
        </w:tc>
        <w:tc>
          <w:tcPr>
            <w:tcW w:type="dxa" w:w="2492"/>
          </w:tcPr>
          <w:p>
            <w:pPr>
              <w:pStyle w:val="null3"/>
            </w:pPr>
            <w:r>
              <w:rPr>
                <w:rFonts w:ascii="仿宋_GB2312" w:hAnsi="仿宋_GB2312" w:cs="仿宋_GB2312" w:eastAsia="仿宋_GB2312"/>
              </w:rPr>
              <w:t>主要产品系统（1-4项）具备①网络安全专用产品安全检测证书②国家信息安全漏洞库（CNNVD）兼容性资质证书③IPv6 Ready认证证书；每个产品得1.5分（其中，每个证书类型0.5分），最高得6分。以加盖系统开发商公章的扫描件为准。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系统开发商资质</w:t>
            </w:r>
          </w:p>
        </w:tc>
        <w:tc>
          <w:tcPr>
            <w:tcW w:type="dxa" w:w="2492"/>
          </w:tcPr>
          <w:p>
            <w:pPr>
              <w:pStyle w:val="null3"/>
            </w:pPr>
            <w:r>
              <w:rPr>
                <w:rFonts w:ascii="仿宋_GB2312" w:hAnsi="仿宋_GB2312" w:cs="仿宋_GB2312" w:eastAsia="仿宋_GB2312"/>
              </w:rPr>
              <w:t>主要产品系统（1-4项）开发商具备①信息系统建设和服务能力等级证书（CS4）②中国信息安全测评中心颁发的安全工程类资质③信息技术服务运行维护标准符合性证书（运行维护）资质④国家信息安全漏洞库（CNNVD）技术支撑单位⑤信息系统安全运维服务资质（CCRC）⑥信息安全应急处理服务资质（CCRC），每个系统得1.5分（其中，每个资质类型得0.25分），最高得6分。以加盖系统开发商公章的扫描件为准。（注：如系统开发商为同一家的，则按每个资质类型合并累加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系统质量</w:t>
            </w:r>
          </w:p>
        </w:tc>
        <w:tc>
          <w:tcPr>
            <w:tcW w:type="dxa" w:w="2492"/>
          </w:tcPr>
          <w:p>
            <w:pPr>
              <w:pStyle w:val="null3"/>
            </w:pPr>
            <w:r>
              <w:rPr>
                <w:rFonts w:ascii="仿宋_GB2312" w:hAnsi="仿宋_GB2312" w:cs="仿宋_GB2312" w:eastAsia="仿宋_GB2312"/>
              </w:rPr>
              <w:t>主要产品系统（1-4项）平台具备招标要求的功能的，每个系统得3分，最高得12分。以加盖系统开发商公章的测试报告、产品说明书、质量证明书或承诺等相关证明文件为准。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硬件设备质量</w:t>
            </w:r>
          </w:p>
        </w:tc>
        <w:tc>
          <w:tcPr>
            <w:tcW w:type="dxa" w:w="2492"/>
          </w:tcPr>
          <w:p>
            <w:pPr>
              <w:pStyle w:val="null3"/>
            </w:pPr>
            <w:r>
              <w:rPr>
                <w:rFonts w:ascii="仿宋_GB2312" w:hAnsi="仿宋_GB2312" w:cs="仿宋_GB2312" w:eastAsia="仿宋_GB2312"/>
              </w:rPr>
              <w:t>供应商所供主要产品（1-5项）硬件设备满足磋商文件要求的，每个产品得1分，最高得5分。以加盖制造商公章的质量检验报告、产品说明书、质量证明书或承诺等相关证明文件为准。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 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详见附件：合同文本条款响应.docx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详见附件：业绩汇总表.docx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详见附件：技术服务合同.docx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