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7EAD9">
      <w:pPr>
        <w:keepNext w:val="0"/>
        <w:keepLines w:val="0"/>
        <w:pageBreakBefore w:val="0"/>
        <w:kinsoku/>
        <w:wordWrap/>
        <w:overflowPunct/>
        <w:topLinePunct w:val="0"/>
        <w:bidi w:val="0"/>
        <w:snapToGrid/>
        <w:spacing w:line="460" w:lineRule="exact"/>
        <w:ind w:firstLine="480" w:firstLineChars="200"/>
        <w:rPr>
          <w:rFonts w:hint="eastAsia" w:ascii="方正仿宋_GB18030" w:hAnsi="方正仿宋_GB18030" w:eastAsia="方正仿宋_GB18030" w:cs="方正仿宋_GB18030"/>
          <w:color w:val="auto"/>
          <w:sz w:val="24"/>
        </w:rPr>
      </w:pPr>
    </w:p>
    <w:p w14:paraId="00951A5F">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52"/>
        </w:rPr>
      </w:pPr>
    </w:p>
    <w:p w14:paraId="1D71C162">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52"/>
        </w:rPr>
      </w:pPr>
    </w:p>
    <w:p w14:paraId="4E109A7F">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52"/>
        </w:rPr>
      </w:pPr>
    </w:p>
    <w:p w14:paraId="1D9EBA22">
      <w:pPr>
        <w:keepNext w:val="0"/>
        <w:keepLines w:val="0"/>
        <w:pageBreakBefore w:val="0"/>
        <w:kinsoku/>
        <w:wordWrap/>
        <w:overflowPunct/>
        <w:topLinePunct w:val="0"/>
        <w:bidi w:val="0"/>
        <w:snapToGrid/>
        <w:spacing w:line="240" w:lineRule="auto"/>
        <w:jc w:val="center"/>
        <w:rPr>
          <w:rFonts w:hint="eastAsia" w:ascii="方正仿宋_GB18030" w:hAnsi="方正仿宋_GB18030" w:eastAsia="方正仿宋_GB18030" w:cs="方正仿宋_GB18030"/>
          <w:b/>
          <w:bCs/>
          <w:color w:val="auto"/>
          <w:sz w:val="56"/>
          <w:szCs w:val="28"/>
        </w:rPr>
      </w:pPr>
      <w:r>
        <w:rPr>
          <w:rFonts w:hint="eastAsia" w:ascii="方正仿宋_GB18030" w:hAnsi="方正仿宋_GB18030" w:eastAsia="方正仿宋_GB18030" w:cs="方正仿宋_GB18030"/>
          <w:b/>
          <w:bCs/>
          <w:color w:val="auto"/>
          <w:sz w:val="56"/>
          <w:szCs w:val="28"/>
        </w:rPr>
        <w:t>技术</w:t>
      </w:r>
      <w:r>
        <w:rPr>
          <w:rFonts w:hint="eastAsia" w:ascii="方正仿宋_GB18030" w:hAnsi="方正仿宋_GB18030" w:eastAsia="方正仿宋_GB18030" w:cs="方正仿宋_GB18030"/>
          <w:b/>
          <w:bCs/>
          <w:color w:val="auto"/>
          <w:sz w:val="56"/>
          <w:szCs w:val="28"/>
          <w:lang w:val="en-US" w:eastAsia="zh-CN"/>
        </w:rPr>
        <w:t>服务</w:t>
      </w:r>
      <w:r>
        <w:rPr>
          <w:rFonts w:hint="eastAsia" w:ascii="方正仿宋_GB18030" w:hAnsi="方正仿宋_GB18030" w:eastAsia="方正仿宋_GB18030" w:cs="方正仿宋_GB18030"/>
          <w:b/>
          <w:bCs/>
          <w:color w:val="auto"/>
          <w:sz w:val="56"/>
          <w:szCs w:val="28"/>
        </w:rPr>
        <w:t>合同</w:t>
      </w:r>
    </w:p>
    <w:p w14:paraId="320E7CEB">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36"/>
        </w:rPr>
      </w:pPr>
    </w:p>
    <w:p w14:paraId="047A9300">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36"/>
        </w:rPr>
      </w:pPr>
    </w:p>
    <w:p w14:paraId="3D5FC554">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36"/>
        </w:rPr>
      </w:pPr>
    </w:p>
    <w:p w14:paraId="29DE7068">
      <w:pPr>
        <w:pStyle w:val="6"/>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sz w:val="36"/>
        </w:rPr>
      </w:pPr>
    </w:p>
    <w:p w14:paraId="2F18E80C">
      <w:pPr>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sz w:val="36"/>
        </w:rPr>
      </w:pPr>
    </w:p>
    <w:p w14:paraId="573EAC26">
      <w:pPr>
        <w:pStyle w:val="6"/>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sz w:val="36"/>
        </w:rPr>
      </w:pPr>
    </w:p>
    <w:p w14:paraId="6EB1CD89">
      <w:pPr>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sz w:val="36"/>
        </w:rPr>
      </w:pPr>
    </w:p>
    <w:p w14:paraId="37D62537">
      <w:pPr>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sz w:val="36"/>
        </w:rPr>
      </w:pPr>
    </w:p>
    <w:p w14:paraId="17E825BE">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color w:val="auto"/>
          <w:sz w:val="36"/>
        </w:rPr>
      </w:pPr>
    </w:p>
    <w:p w14:paraId="156C54E5">
      <w:pPr>
        <w:keepNext w:val="0"/>
        <w:keepLines w:val="0"/>
        <w:pageBreakBefore w:val="0"/>
        <w:kinsoku/>
        <w:wordWrap/>
        <w:overflowPunct/>
        <w:topLinePunct w:val="0"/>
        <w:bidi w:val="0"/>
        <w:snapToGrid/>
        <w:spacing w:line="600" w:lineRule="auto"/>
        <w:ind w:left="2423" w:leftChars="337" w:right="750" w:rightChars="357" w:hanging="1715" w:hangingChars="536"/>
        <w:jc w:val="left"/>
        <w:rPr>
          <w:rFonts w:hint="eastAsia" w:ascii="方正仿宋_GB18030" w:hAnsi="方正仿宋_GB18030" w:eastAsia="方正仿宋_GB18030" w:cs="方正仿宋_GB18030"/>
          <w:color w:val="auto"/>
          <w:sz w:val="32"/>
          <w:szCs w:val="22"/>
          <w:u w:val="single"/>
          <w:lang w:val="en-US" w:eastAsia="zh-CN"/>
        </w:rPr>
      </w:pPr>
      <w:r>
        <w:rPr>
          <w:rFonts w:hint="eastAsia" w:ascii="方正仿宋_GB18030" w:hAnsi="方正仿宋_GB18030" w:eastAsia="方正仿宋_GB18030" w:cs="方正仿宋_GB18030"/>
          <w:color w:val="auto"/>
          <w:sz w:val="32"/>
          <w:szCs w:val="22"/>
          <w:lang w:val="en-US" w:eastAsia="zh-CN"/>
        </w:rPr>
        <w:t>采购</w:t>
      </w:r>
      <w:r>
        <w:rPr>
          <w:rFonts w:hint="eastAsia" w:ascii="方正仿宋_GB18030" w:hAnsi="方正仿宋_GB18030" w:eastAsia="方正仿宋_GB18030" w:cs="方正仿宋_GB18030"/>
          <w:color w:val="auto"/>
          <w:sz w:val="32"/>
          <w:szCs w:val="22"/>
        </w:rPr>
        <w:t>项目名称：</w:t>
      </w:r>
      <w:r>
        <w:rPr>
          <w:rFonts w:hint="eastAsia" w:ascii="方正仿宋_GB18030" w:hAnsi="方正仿宋_GB18030" w:eastAsia="方正仿宋_GB18030" w:cs="方正仿宋_GB18030"/>
          <w:color w:val="auto"/>
          <w:sz w:val="32"/>
          <w:szCs w:val="22"/>
          <w:u w:val="single"/>
          <w:lang w:val="en-US" w:eastAsia="zh-CN"/>
        </w:rPr>
        <w:t xml:space="preserve">   </w:t>
      </w:r>
      <w:r>
        <w:rPr>
          <w:rFonts w:hint="eastAsia" w:ascii="方正仿宋_GB18030" w:hAnsi="方正仿宋_GB18030" w:eastAsia="方正仿宋_GB18030" w:cs="方正仿宋_GB18030"/>
          <w:color w:val="auto"/>
          <w:sz w:val="32"/>
          <w:szCs w:val="22"/>
          <w:u w:val="single"/>
          <w:lang w:eastAsia="zh-CN"/>
        </w:rPr>
        <w:t>网络安全防护平台项目</w:t>
      </w:r>
      <w:r>
        <w:rPr>
          <w:rFonts w:hint="eastAsia" w:ascii="方正仿宋_GB18030" w:hAnsi="方正仿宋_GB18030" w:eastAsia="方正仿宋_GB18030" w:cs="方正仿宋_GB18030"/>
          <w:color w:val="auto"/>
          <w:sz w:val="32"/>
          <w:szCs w:val="22"/>
          <w:u w:val="single"/>
          <w:lang w:val="en-US" w:eastAsia="zh-CN"/>
        </w:rPr>
        <w:t xml:space="preserve">   </w:t>
      </w:r>
    </w:p>
    <w:p w14:paraId="29CF5AA4">
      <w:pPr>
        <w:keepNext w:val="0"/>
        <w:keepLines w:val="0"/>
        <w:pageBreakBefore w:val="0"/>
        <w:kinsoku/>
        <w:wordWrap/>
        <w:overflowPunct/>
        <w:topLinePunct w:val="0"/>
        <w:bidi w:val="0"/>
        <w:snapToGrid/>
        <w:spacing w:line="600" w:lineRule="auto"/>
        <w:ind w:left="1463" w:leftChars="337" w:right="750" w:rightChars="357" w:hanging="755" w:hangingChars="236"/>
        <w:jc w:val="left"/>
        <w:rPr>
          <w:rFonts w:hint="eastAsia" w:ascii="方正仿宋_GB18030" w:hAnsi="方正仿宋_GB18030" w:eastAsia="方正仿宋_GB18030" w:cs="方正仿宋_GB18030"/>
          <w:color w:val="auto"/>
          <w:sz w:val="32"/>
          <w:szCs w:val="22"/>
          <w:lang w:val="en-US" w:eastAsia="zh-CN"/>
        </w:rPr>
      </w:pPr>
      <w:r>
        <w:rPr>
          <w:rFonts w:hint="eastAsia" w:ascii="方正仿宋_GB18030" w:hAnsi="方正仿宋_GB18030" w:eastAsia="方正仿宋_GB18030" w:cs="方正仿宋_GB18030"/>
          <w:color w:val="auto"/>
          <w:sz w:val="32"/>
          <w:szCs w:val="22"/>
        </w:rPr>
        <w:t>采购人（甲方）：</w:t>
      </w:r>
      <w:r>
        <w:rPr>
          <w:rFonts w:hint="eastAsia" w:ascii="方正仿宋_GB18030" w:hAnsi="方正仿宋_GB18030" w:eastAsia="方正仿宋_GB18030" w:cs="方正仿宋_GB18030"/>
          <w:color w:val="auto"/>
          <w:sz w:val="32"/>
          <w:szCs w:val="22"/>
          <w:u w:val="single"/>
          <w:lang w:eastAsia="zh-CN"/>
        </w:rPr>
        <w:t>铜川市住房公积金管理中心</w:t>
      </w:r>
      <w:r>
        <w:rPr>
          <w:rFonts w:hint="eastAsia" w:ascii="方正仿宋_GB18030" w:hAnsi="方正仿宋_GB18030" w:eastAsia="方正仿宋_GB18030" w:cs="方正仿宋_GB18030"/>
          <w:color w:val="auto"/>
          <w:sz w:val="32"/>
          <w:szCs w:val="22"/>
          <w:u w:val="single"/>
          <w:lang w:val="en-US" w:eastAsia="zh-CN"/>
        </w:rPr>
        <w:t xml:space="preserve">  </w:t>
      </w:r>
    </w:p>
    <w:p w14:paraId="33FC1387">
      <w:pPr>
        <w:keepNext w:val="0"/>
        <w:keepLines w:val="0"/>
        <w:pageBreakBefore w:val="0"/>
        <w:kinsoku/>
        <w:wordWrap/>
        <w:overflowPunct/>
        <w:topLinePunct w:val="0"/>
        <w:bidi w:val="0"/>
        <w:snapToGrid/>
        <w:spacing w:line="600" w:lineRule="auto"/>
        <w:ind w:left="1463" w:leftChars="337" w:right="750" w:rightChars="357" w:hanging="755" w:hangingChars="236"/>
        <w:rPr>
          <w:rFonts w:hint="eastAsia" w:ascii="方正仿宋_GB18030" w:hAnsi="方正仿宋_GB18030" w:eastAsia="方正仿宋_GB18030" w:cs="方正仿宋_GB18030"/>
          <w:color w:val="auto"/>
          <w:sz w:val="32"/>
          <w:szCs w:val="22"/>
          <w:u w:val="single"/>
        </w:rPr>
      </w:pPr>
      <w:r>
        <w:rPr>
          <w:rFonts w:hint="eastAsia" w:ascii="方正仿宋_GB18030" w:hAnsi="方正仿宋_GB18030" w:eastAsia="方正仿宋_GB18030" w:cs="方正仿宋_GB18030"/>
          <w:color w:val="auto"/>
          <w:sz w:val="32"/>
          <w:szCs w:val="22"/>
        </w:rPr>
        <w:t>成交供应商（乙方）：</w:t>
      </w:r>
      <w:r>
        <w:rPr>
          <w:rFonts w:hint="eastAsia" w:ascii="方正仿宋_GB18030" w:hAnsi="方正仿宋_GB18030" w:eastAsia="方正仿宋_GB18030" w:cs="方正仿宋_GB18030"/>
          <w:color w:val="auto"/>
          <w:sz w:val="32"/>
          <w:szCs w:val="22"/>
          <w:u w:val="single"/>
          <w:lang w:val="en-US" w:eastAsia="zh-CN"/>
        </w:rPr>
        <w:t xml:space="preserve">              </w:t>
      </w:r>
      <w:r>
        <w:rPr>
          <w:rFonts w:hint="eastAsia" w:ascii="方正仿宋_GB18030" w:hAnsi="方正仿宋_GB18030" w:eastAsia="方正仿宋_GB18030" w:cs="方正仿宋_GB18030"/>
          <w:color w:val="auto"/>
          <w:sz w:val="32"/>
          <w:szCs w:val="22"/>
          <w:u w:val="single"/>
        </w:rPr>
        <w:t xml:space="preserve"> </w:t>
      </w:r>
      <w:r>
        <w:rPr>
          <w:rFonts w:hint="eastAsia" w:ascii="方正仿宋_GB18030" w:hAnsi="方正仿宋_GB18030" w:eastAsia="方正仿宋_GB18030" w:cs="方正仿宋_GB18030"/>
          <w:color w:val="auto"/>
          <w:sz w:val="32"/>
          <w:szCs w:val="22"/>
          <w:u w:val="single"/>
          <w:lang w:val="en-US" w:eastAsia="zh-CN"/>
        </w:rPr>
        <w:t xml:space="preserve">      </w:t>
      </w:r>
      <w:r>
        <w:rPr>
          <w:rFonts w:hint="eastAsia" w:ascii="方正仿宋_GB18030" w:hAnsi="方正仿宋_GB18030" w:eastAsia="方正仿宋_GB18030" w:cs="方正仿宋_GB18030"/>
          <w:color w:val="auto"/>
          <w:sz w:val="32"/>
          <w:szCs w:val="22"/>
          <w:u w:val="single"/>
        </w:rPr>
        <w:t xml:space="preserve"> </w:t>
      </w:r>
    </w:p>
    <w:p w14:paraId="79B913CA">
      <w:pPr>
        <w:keepNext w:val="0"/>
        <w:keepLines w:val="0"/>
        <w:pageBreakBefore w:val="0"/>
        <w:kinsoku/>
        <w:wordWrap/>
        <w:overflowPunct/>
        <w:topLinePunct w:val="0"/>
        <w:bidi w:val="0"/>
        <w:snapToGrid/>
        <w:spacing w:line="460" w:lineRule="exact"/>
        <w:ind w:left="1557" w:leftChars="337" w:right="750" w:rightChars="357" w:hanging="849" w:hangingChars="236"/>
        <w:rPr>
          <w:rFonts w:hint="eastAsia" w:ascii="方正仿宋_GB18030" w:hAnsi="方正仿宋_GB18030" w:eastAsia="方正仿宋_GB18030" w:cs="方正仿宋_GB18030"/>
          <w:color w:val="auto"/>
          <w:sz w:val="36"/>
          <w:u w:val="single"/>
        </w:rPr>
      </w:pPr>
    </w:p>
    <w:p w14:paraId="46A78B0C">
      <w:pPr>
        <w:keepNext w:val="0"/>
        <w:keepLines w:val="0"/>
        <w:pageBreakBefore w:val="0"/>
        <w:kinsoku/>
        <w:wordWrap/>
        <w:overflowPunct/>
        <w:topLinePunct w:val="0"/>
        <w:bidi w:val="0"/>
        <w:snapToGrid/>
        <w:spacing w:line="460" w:lineRule="exact"/>
        <w:ind w:right="750" w:rightChars="357"/>
        <w:jc w:val="center"/>
        <w:rPr>
          <w:rFonts w:hint="eastAsia" w:ascii="方正仿宋_GB18030" w:hAnsi="方正仿宋_GB18030" w:eastAsia="方正仿宋_GB18030" w:cs="方正仿宋_GB18030"/>
          <w:color w:val="auto"/>
          <w:sz w:val="36"/>
        </w:rPr>
      </w:pPr>
      <w:r>
        <w:rPr>
          <w:rFonts w:hint="eastAsia" w:ascii="方正仿宋_GB18030" w:hAnsi="方正仿宋_GB18030" w:eastAsia="方正仿宋_GB18030" w:cs="方正仿宋_GB18030"/>
          <w:color w:val="auto"/>
          <w:sz w:val="36"/>
          <w:lang w:eastAsia="zh-CN"/>
        </w:rPr>
        <w:t>202</w:t>
      </w:r>
      <w:r>
        <w:rPr>
          <w:rFonts w:hint="eastAsia" w:ascii="方正仿宋_GB18030" w:hAnsi="方正仿宋_GB18030" w:eastAsia="方正仿宋_GB18030" w:cs="方正仿宋_GB18030"/>
          <w:color w:val="auto"/>
          <w:sz w:val="36"/>
          <w:lang w:val="en-US" w:eastAsia="zh-CN"/>
        </w:rPr>
        <w:t>5</w:t>
      </w:r>
      <w:r>
        <w:rPr>
          <w:rFonts w:hint="eastAsia" w:ascii="方正仿宋_GB18030" w:hAnsi="方正仿宋_GB18030" w:eastAsia="方正仿宋_GB18030" w:cs="方正仿宋_GB18030"/>
          <w:color w:val="auto"/>
          <w:sz w:val="36"/>
        </w:rPr>
        <w:t>年</w:t>
      </w:r>
      <w:r>
        <w:rPr>
          <w:rFonts w:hint="eastAsia" w:ascii="方正仿宋_GB18030" w:hAnsi="方正仿宋_GB18030" w:eastAsia="方正仿宋_GB18030" w:cs="方正仿宋_GB18030"/>
          <w:color w:val="auto"/>
          <w:sz w:val="36"/>
          <w:lang w:val="en-US" w:eastAsia="zh-CN"/>
        </w:rPr>
        <w:t xml:space="preserve">   </w:t>
      </w:r>
      <w:r>
        <w:rPr>
          <w:rFonts w:hint="eastAsia" w:ascii="方正仿宋_GB18030" w:hAnsi="方正仿宋_GB18030" w:eastAsia="方正仿宋_GB18030" w:cs="方正仿宋_GB18030"/>
          <w:color w:val="auto"/>
          <w:sz w:val="36"/>
        </w:rPr>
        <w:t>月</w:t>
      </w:r>
    </w:p>
    <w:p w14:paraId="544E5CB5">
      <w:pPr>
        <w:keepNext w:val="0"/>
        <w:keepLines w:val="0"/>
        <w:pageBreakBefore w:val="0"/>
        <w:kinsoku/>
        <w:wordWrap/>
        <w:overflowPunct/>
        <w:topLinePunct w:val="0"/>
        <w:bidi w:val="0"/>
        <w:snapToGrid/>
        <w:spacing w:line="460" w:lineRule="exact"/>
        <w:jc w:val="center"/>
        <w:rPr>
          <w:rFonts w:hint="eastAsia" w:ascii="方正仿宋_GB18030" w:hAnsi="方正仿宋_GB18030" w:eastAsia="方正仿宋_GB18030" w:cs="方正仿宋_GB18030"/>
          <w:b/>
          <w:bCs/>
          <w:color w:val="auto"/>
          <w:sz w:val="56"/>
          <w:szCs w:val="28"/>
        </w:rPr>
      </w:pPr>
      <w:r>
        <w:rPr>
          <w:rFonts w:hint="eastAsia" w:ascii="方正仿宋_GB18030" w:hAnsi="方正仿宋_GB18030" w:eastAsia="方正仿宋_GB18030" w:cs="方正仿宋_GB18030"/>
          <w:color w:val="auto"/>
          <w:sz w:val="36"/>
        </w:rPr>
        <w:br w:type="page"/>
      </w:r>
      <w:r>
        <w:rPr>
          <w:rFonts w:hint="eastAsia" w:ascii="方正仿宋_GB18030" w:hAnsi="方正仿宋_GB18030" w:eastAsia="方正仿宋_GB18030" w:cs="方正仿宋_GB18030"/>
          <w:b/>
          <w:bCs/>
          <w:color w:val="auto"/>
          <w:sz w:val="48"/>
          <w:szCs w:val="22"/>
        </w:rPr>
        <w:t>技术</w:t>
      </w:r>
      <w:r>
        <w:rPr>
          <w:rFonts w:hint="eastAsia" w:ascii="方正仿宋_GB18030" w:hAnsi="方正仿宋_GB18030" w:eastAsia="方正仿宋_GB18030" w:cs="方正仿宋_GB18030"/>
          <w:b/>
          <w:bCs/>
          <w:color w:val="auto"/>
          <w:sz w:val="48"/>
          <w:szCs w:val="22"/>
          <w:lang w:val="en-US" w:eastAsia="zh-CN"/>
        </w:rPr>
        <w:t>服务</w:t>
      </w:r>
      <w:r>
        <w:rPr>
          <w:rFonts w:hint="eastAsia" w:ascii="方正仿宋_GB18030" w:hAnsi="方正仿宋_GB18030" w:eastAsia="方正仿宋_GB18030" w:cs="方正仿宋_GB18030"/>
          <w:b/>
          <w:bCs/>
          <w:color w:val="auto"/>
          <w:sz w:val="48"/>
          <w:szCs w:val="22"/>
        </w:rPr>
        <w:t>合同</w:t>
      </w:r>
    </w:p>
    <w:p w14:paraId="507C431A">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方正仿宋_GB18030" w:hAnsi="方正仿宋_GB18030" w:eastAsia="方正仿宋_GB18030" w:cs="方正仿宋_GB18030"/>
          <w:color w:val="auto"/>
          <w:sz w:val="36"/>
          <w:lang w:val="en-US" w:eastAsia="zh-CN"/>
        </w:rPr>
      </w:pPr>
    </w:p>
    <w:p w14:paraId="617C237A">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根据《中华人民共和国政府采购法》、《中华人民共和国</w:t>
      </w:r>
      <w:r>
        <w:rPr>
          <w:rFonts w:hint="eastAsia" w:ascii="方正仿宋_GB18030" w:hAnsi="方正仿宋_GB18030" w:eastAsia="方正仿宋_GB18030" w:cs="方正仿宋_GB18030"/>
          <w:color w:val="auto"/>
          <w:sz w:val="21"/>
          <w:szCs w:val="21"/>
          <w:lang w:eastAsia="zh-CN"/>
        </w:rPr>
        <w:t>民法典</w:t>
      </w:r>
      <w:r>
        <w:rPr>
          <w:rFonts w:hint="eastAsia" w:ascii="方正仿宋_GB18030" w:hAnsi="方正仿宋_GB18030" w:eastAsia="方正仿宋_GB18030" w:cs="方正仿宋_GB18030"/>
          <w:color w:val="auto"/>
          <w:sz w:val="21"/>
          <w:szCs w:val="21"/>
        </w:rPr>
        <w:t>》等有关法律法规规定，</w:t>
      </w:r>
      <w:r>
        <w:rPr>
          <w:rFonts w:hint="eastAsia" w:ascii="方正仿宋_GB18030" w:hAnsi="方正仿宋_GB18030" w:eastAsia="方正仿宋_GB18030" w:cs="方正仿宋_GB18030"/>
          <w:color w:val="auto"/>
          <w:sz w:val="21"/>
          <w:szCs w:val="21"/>
          <w:u w:val="single"/>
          <w:lang w:eastAsia="zh-CN"/>
        </w:rPr>
        <w:t>铜川市住房公积金管理中心</w:t>
      </w:r>
      <w:r>
        <w:rPr>
          <w:rFonts w:hint="eastAsia" w:ascii="方正仿宋_GB18030" w:hAnsi="方正仿宋_GB18030" w:eastAsia="方正仿宋_GB18030" w:cs="方正仿宋_GB18030"/>
          <w:color w:val="auto"/>
          <w:sz w:val="21"/>
          <w:szCs w:val="21"/>
        </w:rPr>
        <w:t>通过政府采购确定</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为</w:t>
      </w:r>
      <w:r>
        <w:rPr>
          <w:rFonts w:hint="eastAsia" w:ascii="方正仿宋_GB18030" w:hAnsi="方正仿宋_GB18030" w:eastAsia="方正仿宋_GB18030" w:cs="方正仿宋_GB18030"/>
          <w:color w:val="auto"/>
          <w:sz w:val="21"/>
          <w:szCs w:val="21"/>
          <w:lang w:eastAsia="zh-CN"/>
        </w:rPr>
        <w:t>网络安全防护平台项目</w:t>
      </w:r>
      <w:r>
        <w:rPr>
          <w:rFonts w:hint="eastAsia" w:ascii="方正仿宋_GB18030" w:hAnsi="方正仿宋_GB18030" w:eastAsia="方正仿宋_GB18030" w:cs="方正仿宋_GB18030"/>
          <w:color w:val="auto"/>
          <w:sz w:val="21"/>
          <w:szCs w:val="21"/>
        </w:rPr>
        <w:t>的成交供应商。</w:t>
      </w:r>
    </w:p>
    <w:p w14:paraId="19A68D8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本合同由甲方委托乙方提供</w:t>
      </w:r>
      <w:r>
        <w:rPr>
          <w:rFonts w:hint="eastAsia" w:ascii="方正仿宋_GB18030" w:hAnsi="方正仿宋_GB18030" w:eastAsia="方正仿宋_GB18030" w:cs="方正仿宋_GB18030"/>
          <w:color w:val="auto"/>
          <w:sz w:val="21"/>
          <w:szCs w:val="21"/>
          <w:u w:val="single"/>
          <w:lang w:val="en-US" w:eastAsia="zh-CN"/>
        </w:rPr>
        <w:t>网络安全防护平台项目</w:t>
      </w:r>
      <w:r>
        <w:rPr>
          <w:rFonts w:hint="eastAsia" w:ascii="方正仿宋_GB18030" w:hAnsi="方正仿宋_GB18030" w:eastAsia="方正仿宋_GB18030" w:cs="方正仿宋_GB18030"/>
          <w:color w:val="auto"/>
          <w:sz w:val="21"/>
          <w:szCs w:val="21"/>
          <w:lang w:val="en-US" w:eastAsia="zh-CN"/>
        </w:rPr>
        <w:t>，并支付技术服务报酬，乙方接受委托并进行此项目的技术服务工作。双方经过平等协商，在真实、充分地表达各自意愿的基础上，根据《中华人民共和国民法典》的规定，达成如下协议，并由双方共同恪守。</w:t>
      </w:r>
    </w:p>
    <w:p w14:paraId="33E24EF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第一条 合同双方</w:t>
      </w:r>
    </w:p>
    <w:p w14:paraId="529D472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采购人（甲方）：</w:t>
      </w:r>
      <w:r>
        <w:rPr>
          <w:rFonts w:hint="eastAsia" w:ascii="方正仿宋_GB18030" w:hAnsi="方正仿宋_GB18030" w:eastAsia="方正仿宋_GB18030" w:cs="方正仿宋_GB18030"/>
          <w:color w:val="auto"/>
          <w:sz w:val="21"/>
          <w:szCs w:val="21"/>
          <w:u w:val="single"/>
          <w:lang w:val="en-US" w:eastAsia="zh-CN"/>
        </w:rPr>
        <w:t xml:space="preserve">   铜川市住房公积金管理中心  </w:t>
      </w:r>
      <w:r>
        <w:rPr>
          <w:rFonts w:hint="eastAsia" w:ascii="方正仿宋_GB18030" w:hAnsi="方正仿宋_GB18030" w:eastAsia="方正仿宋_GB18030" w:cs="方正仿宋_GB18030"/>
          <w:color w:val="auto"/>
          <w:sz w:val="21"/>
          <w:szCs w:val="21"/>
          <w:lang w:val="en-US" w:eastAsia="zh-CN"/>
        </w:rPr>
        <w:t>（以下简称甲方）</w:t>
      </w:r>
    </w:p>
    <w:p w14:paraId="4082A29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地         址：</w:t>
      </w:r>
      <w:r>
        <w:rPr>
          <w:rFonts w:hint="eastAsia" w:ascii="方正仿宋_GB18030" w:hAnsi="方正仿宋_GB18030" w:eastAsia="方正仿宋_GB18030" w:cs="方正仿宋_GB18030"/>
          <w:color w:val="auto"/>
          <w:sz w:val="21"/>
          <w:szCs w:val="21"/>
          <w:u w:val="single"/>
          <w:lang w:val="en-US" w:eastAsia="zh-CN"/>
        </w:rPr>
        <w:t xml:space="preserve">                              </w:t>
      </w:r>
    </w:p>
    <w:p w14:paraId="1DDA5716">
      <w:pPr>
        <w:pStyle w:val="11"/>
        <w:keepNext w:val="0"/>
        <w:keepLines w:val="0"/>
        <w:pageBreakBefore w:val="0"/>
        <w:widowControl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val="en-US" w:eastAsia="zh-CN"/>
        </w:rPr>
        <w:t>成交供应商（</w:t>
      </w:r>
      <w:r>
        <w:rPr>
          <w:rFonts w:hint="eastAsia" w:ascii="方正仿宋_GB18030" w:hAnsi="方正仿宋_GB18030" w:eastAsia="方正仿宋_GB18030" w:cs="方正仿宋_GB18030"/>
          <w:color w:val="auto"/>
          <w:sz w:val="21"/>
          <w:szCs w:val="21"/>
        </w:rPr>
        <w:t>乙方</w:t>
      </w:r>
      <w:r>
        <w:rPr>
          <w:rFonts w:hint="eastAsia" w:ascii="方正仿宋_GB18030" w:hAnsi="方正仿宋_GB18030" w:eastAsia="方正仿宋_GB18030" w:cs="方正仿宋_GB18030"/>
          <w:color w:val="auto"/>
          <w:sz w:val="21"/>
          <w:szCs w:val="21"/>
          <w:lang w:val="en-US" w:eastAsia="zh-CN"/>
        </w:rPr>
        <w:t>）</w:t>
      </w:r>
      <w:r>
        <w:rPr>
          <w:rFonts w:hint="eastAsia" w:ascii="方正仿宋_GB18030" w:hAnsi="方正仿宋_GB18030" w:eastAsia="方正仿宋_GB18030" w:cs="方正仿宋_GB18030"/>
          <w:color w:val="auto"/>
          <w:sz w:val="21"/>
          <w:szCs w:val="21"/>
        </w:rPr>
        <w:t>：</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（以下简称乙方）</w:t>
      </w:r>
    </w:p>
    <w:p w14:paraId="6AE2454D">
      <w:pPr>
        <w:pStyle w:val="11"/>
        <w:keepNext w:val="0"/>
        <w:keepLines w:val="0"/>
        <w:pageBreakBefore w:val="0"/>
        <w:widowControl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rPr>
        <w:t>地</w:t>
      </w:r>
      <w:r>
        <w:rPr>
          <w:rFonts w:hint="eastAsia" w:ascii="方正仿宋_GB18030" w:hAnsi="方正仿宋_GB18030" w:eastAsia="方正仿宋_GB18030" w:cs="方正仿宋_GB18030"/>
          <w:color w:val="auto"/>
          <w:sz w:val="21"/>
          <w:szCs w:val="21"/>
          <w:lang w:val="en-US" w:eastAsia="zh-CN"/>
        </w:rPr>
        <w:t xml:space="preserve">            </w:t>
      </w:r>
      <w:r>
        <w:rPr>
          <w:rFonts w:hint="eastAsia" w:ascii="方正仿宋_GB18030" w:hAnsi="方正仿宋_GB18030" w:eastAsia="方正仿宋_GB18030" w:cs="方正仿宋_GB18030"/>
          <w:color w:val="auto"/>
          <w:sz w:val="21"/>
          <w:szCs w:val="21"/>
        </w:rPr>
        <w:t>址：</w:t>
      </w:r>
      <w:r>
        <w:rPr>
          <w:rFonts w:hint="eastAsia" w:ascii="方正仿宋_GB18030" w:hAnsi="方正仿宋_GB18030" w:eastAsia="方正仿宋_GB18030" w:cs="方正仿宋_GB18030"/>
          <w:color w:val="auto"/>
          <w:sz w:val="21"/>
          <w:szCs w:val="21"/>
          <w:u w:val="single"/>
          <w:lang w:val="en-US" w:eastAsia="zh-CN"/>
        </w:rPr>
        <w:t xml:space="preserve">                           </w:t>
      </w:r>
    </w:p>
    <w:p w14:paraId="7CA3575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第二条 合同内容</w:t>
      </w:r>
    </w:p>
    <w:p w14:paraId="15EBFDCA">
      <w:pPr>
        <w:pStyle w:val="11"/>
        <w:keepNext w:val="0"/>
        <w:keepLines w:val="0"/>
        <w:pageBreakBefore w:val="0"/>
        <w:widowControl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sz w:val="21"/>
          <w:szCs w:val="21"/>
          <w:u w:val="single"/>
          <w:lang w:val="en-US" w:eastAsia="zh-CN"/>
        </w:rPr>
      </w:pPr>
      <w:r>
        <w:rPr>
          <w:rFonts w:hint="eastAsia" w:ascii="方正仿宋_GB18030" w:hAnsi="方正仿宋_GB18030" w:eastAsia="方正仿宋_GB18030" w:cs="方正仿宋_GB18030"/>
          <w:color w:val="auto"/>
          <w:sz w:val="21"/>
          <w:szCs w:val="21"/>
          <w:u w:val="single"/>
          <w:lang w:val="en-US" w:eastAsia="zh-CN"/>
        </w:rPr>
        <w:t>按照网络安全等级保护第三级有关标准关于信息系统的基本要求，科学合理评估网络系统风险，建设符合铜川市公积金中心需求的网络安全防护平台，主要包括：态势分析与安全运营系统1套、APT安全监测系统1套、数据防泄漏系统1套、数据库审计与防护系统1套、安全运营服务1项。</w:t>
      </w:r>
    </w:p>
    <w:p w14:paraId="687FC50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第三条 建设工期及质量保证期</w:t>
      </w:r>
    </w:p>
    <w:p w14:paraId="52C0E46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一</w:t>
      </w: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rPr>
        <w:t>建设工期</w:t>
      </w:r>
    </w:p>
    <w:p w14:paraId="3DC85BB1">
      <w:pPr>
        <w:keepNext w:val="0"/>
        <w:keepLines w:val="0"/>
        <w:pageBreakBefore w:val="0"/>
        <w:kinsoku/>
        <w:wordWrap/>
        <w:overflowPunct/>
        <w:topLinePunct w:val="0"/>
        <w:bidi w:val="0"/>
        <w:snapToGrid/>
        <w:spacing w:line="460" w:lineRule="exact"/>
        <w:ind w:firstLine="420" w:firstLineChars="200"/>
        <w:rPr>
          <w:rFonts w:hint="eastAsia" w:ascii="方正仿宋_GB18030" w:hAnsi="方正仿宋_GB18030" w:eastAsia="方正仿宋_GB18030" w:cs="方正仿宋_GB18030"/>
          <w:color w:val="auto"/>
          <w:sz w:val="21"/>
          <w:szCs w:val="21"/>
          <w:u w:val="single"/>
          <w:lang w:eastAsia="zh-CN"/>
        </w:rPr>
      </w:pPr>
      <w:r>
        <w:rPr>
          <w:rFonts w:hint="eastAsia" w:ascii="方正仿宋_GB18030" w:hAnsi="方正仿宋_GB18030" w:eastAsia="方正仿宋_GB18030" w:cs="方正仿宋_GB18030"/>
          <w:color w:val="auto"/>
          <w:sz w:val="21"/>
          <w:szCs w:val="21"/>
          <w:u w:val="single"/>
        </w:rPr>
        <w:t>本项目</w:t>
      </w:r>
      <w:r>
        <w:rPr>
          <w:rFonts w:hint="eastAsia" w:ascii="方正仿宋_GB18030" w:hAnsi="方正仿宋_GB18030" w:eastAsia="方正仿宋_GB18030" w:cs="方正仿宋_GB18030"/>
          <w:color w:val="auto"/>
          <w:sz w:val="21"/>
          <w:szCs w:val="21"/>
          <w:u w:val="single"/>
          <w:lang w:val="en-US" w:eastAsia="zh-CN"/>
        </w:rPr>
        <w:t>须在</w:t>
      </w:r>
      <w:r>
        <w:rPr>
          <w:rFonts w:hint="eastAsia" w:ascii="方正仿宋_GB18030" w:hAnsi="方正仿宋_GB18030" w:eastAsia="方正仿宋_GB18030" w:cs="方正仿宋_GB18030"/>
          <w:color w:val="auto"/>
          <w:sz w:val="21"/>
          <w:szCs w:val="21"/>
          <w:u w:val="single"/>
        </w:rPr>
        <w:t>合同签订之日起60日历天</w:t>
      </w:r>
      <w:r>
        <w:rPr>
          <w:rFonts w:hint="eastAsia" w:ascii="方正仿宋_GB18030" w:hAnsi="方正仿宋_GB18030" w:eastAsia="方正仿宋_GB18030" w:cs="方正仿宋_GB18030"/>
          <w:color w:val="auto"/>
          <w:sz w:val="21"/>
          <w:szCs w:val="21"/>
          <w:u w:val="single"/>
          <w:lang w:val="en-US" w:eastAsia="zh-CN"/>
        </w:rPr>
        <w:t>内</w:t>
      </w:r>
      <w:r>
        <w:rPr>
          <w:rFonts w:hint="eastAsia" w:ascii="方正仿宋_GB18030" w:hAnsi="方正仿宋_GB18030" w:eastAsia="方正仿宋_GB18030" w:cs="方正仿宋_GB18030"/>
          <w:color w:val="auto"/>
          <w:sz w:val="21"/>
          <w:szCs w:val="21"/>
          <w:u w:val="single"/>
        </w:rPr>
        <w:t>完成</w:t>
      </w:r>
      <w:r>
        <w:rPr>
          <w:rFonts w:hint="eastAsia" w:ascii="方正仿宋_GB18030" w:hAnsi="方正仿宋_GB18030" w:eastAsia="方正仿宋_GB18030" w:cs="方正仿宋_GB18030"/>
          <w:color w:val="auto"/>
          <w:sz w:val="21"/>
          <w:szCs w:val="21"/>
          <w:u w:val="single"/>
          <w:lang w:eastAsia="zh-CN"/>
        </w:rPr>
        <w:t>软硬件安装</w:t>
      </w:r>
      <w:r>
        <w:rPr>
          <w:rFonts w:hint="eastAsia" w:ascii="方正仿宋_GB18030" w:hAnsi="方正仿宋_GB18030" w:eastAsia="方正仿宋_GB18030" w:cs="方正仿宋_GB18030"/>
          <w:color w:val="auto"/>
          <w:sz w:val="21"/>
          <w:szCs w:val="21"/>
          <w:u w:val="single"/>
        </w:rPr>
        <w:t>调试及上线运行</w:t>
      </w:r>
      <w:r>
        <w:rPr>
          <w:rFonts w:hint="eastAsia" w:ascii="方正仿宋_GB18030" w:hAnsi="方正仿宋_GB18030" w:eastAsia="方正仿宋_GB18030" w:cs="方正仿宋_GB18030"/>
          <w:color w:val="auto"/>
          <w:sz w:val="21"/>
          <w:szCs w:val="21"/>
          <w:u w:val="single"/>
          <w:lang w:eastAsia="zh-CN"/>
        </w:rPr>
        <w:t>。</w:t>
      </w:r>
    </w:p>
    <w:p w14:paraId="43182CB0">
      <w:pPr>
        <w:keepNext w:val="0"/>
        <w:keepLines w:val="0"/>
        <w:pageBreakBefore w:val="0"/>
        <w:kinsoku/>
        <w:wordWrap/>
        <w:overflowPunct/>
        <w:topLinePunct w:val="0"/>
        <w:bidi w:val="0"/>
        <w:snapToGrid/>
        <w:spacing w:line="460" w:lineRule="exact"/>
        <w:ind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二</w:t>
      </w:r>
      <w:r>
        <w:rPr>
          <w:rFonts w:hint="eastAsia" w:ascii="方正仿宋_GB18030" w:hAnsi="方正仿宋_GB18030" w:eastAsia="方正仿宋_GB18030" w:cs="方正仿宋_GB18030"/>
          <w:color w:val="auto"/>
          <w:sz w:val="21"/>
          <w:szCs w:val="21"/>
          <w:lang w:eastAsia="zh-CN"/>
        </w:rPr>
        <w:t>）质量保证期</w:t>
      </w:r>
    </w:p>
    <w:p w14:paraId="40309EAD">
      <w:pPr>
        <w:keepNext w:val="0"/>
        <w:keepLines w:val="0"/>
        <w:pageBreakBefore w:val="0"/>
        <w:kinsoku/>
        <w:wordWrap/>
        <w:overflowPunct/>
        <w:topLinePunct w:val="0"/>
        <w:bidi w:val="0"/>
        <w:snapToGrid/>
        <w:spacing w:line="460" w:lineRule="exact"/>
        <w:ind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u w:val="single"/>
        </w:rPr>
        <w:t>本项目</w:t>
      </w:r>
      <w:r>
        <w:rPr>
          <w:rFonts w:hint="eastAsia" w:ascii="方正仿宋_GB18030" w:hAnsi="方正仿宋_GB18030" w:eastAsia="方正仿宋_GB18030" w:cs="方正仿宋_GB18030"/>
          <w:color w:val="auto"/>
          <w:sz w:val="21"/>
          <w:szCs w:val="21"/>
          <w:u w:val="single"/>
          <w:lang w:val="en-US" w:eastAsia="zh-CN"/>
        </w:rPr>
        <w:t>软硬件须提供不少于3年的制造商（或开发商）质保（或维保）服</w:t>
      </w:r>
      <w:bookmarkStart w:id="2" w:name="_GoBack"/>
      <w:bookmarkEnd w:id="2"/>
      <w:r>
        <w:rPr>
          <w:rFonts w:hint="eastAsia" w:ascii="方正仿宋_GB18030" w:hAnsi="方正仿宋_GB18030" w:eastAsia="方正仿宋_GB18030" w:cs="方正仿宋_GB18030"/>
          <w:color w:val="auto"/>
          <w:sz w:val="21"/>
          <w:szCs w:val="21"/>
          <w:u w:val="single"/>
          <w:lang w:val="en-US" w:eastAsia="zh-CN"/>
        </w:rPr>
        <w:t>务</w:t>
      </w:r>
      <w:r>
        <w:rPr>
          <w:rFonts w:hint="eastAsia" w:ascii="方正仿宋_GB18030" w:hAnsi="方正仿宋_GB18030" w:eastAsia="方正仿宋_GB18030" w:cs="方正仿宋_GB18030"/>
          <w:color w:val="auto"/>
          <w:sz w:val="21"/>
          <w:szCs w:val="21"/>
          <w:lang w:val="en-US" w:eastAsia="zh-CN"/>
        </w:rPr>
        <w:t>。</w:t>
      </w:r>
      <w:r>
        <w:rPr>
          <w:rFonts w:hint="eastAsia" w:ascii="方正仿宋_GB18030" w:hAnsi="方正仿宋_GB18030" w:eastAsia="方正仿宋_GB18030" w:cs="方正仿宋_GB18030"/>
          <w:color w:val="auto"/>
          <w:sz w:val="21"/>
          <w:szCs w:val="21"/>
        </w:rPr>
        <w:t>在</w:t>
      </w:r>
      <w:r>
        <w:rPr>
          <w:rFonts w:hint="eastAsia" w:ascii="方正仿宋_GB18030" w:hAnsi="方正仿宋_GB18030" w:eastAsia="方正仿宋_GB18030" w:cs="方正仿宋_GB18030"/>
          <w:color w:val="auto"/>
          <w:sz w:val="21"/>
          <w:szCs w:val="21"/>
          <w:lang w:eastAsia="zh-CN"/>
        </w:rPr>
        <w:t>质量保证期</w:t>
      </w:r>
      <w:r>
        <w:rPr>
          <w:rFonts w:hint="eastAsia" w:ascii="方正仿宋_GB18030" w:hAnsi="方正仿宋_GB18030" w:eastAsia="方正仿宋_GB18030" w:cs="方正仿宋_GB18030"/>
          <w:color w:val="auto"/>
          <w:sz w:val="21"/>
          <w:szCs w:val="21"/>
        </w:rPr>
        <w:t>内，提供7×24小时响应服务，负责提供对技术问题进行咨询解答服务，对非框架性软件调整要求予以软件修改；负责对软件的缺陷进行修改，如出现故障，应及时做出响应，并排除故障；</w:t>
      </w:r>
      <w:r>
        <w:rPr>
          <w:rFonts w:hint="eastAsia" w:ascii="方正仿宋_GB18030" w:hAnsi="方正仿宋_GB18030" w:eastAsia="方正仿宋_GB18030" w:cs="方正仿宋_GB18030"/>
          <w:color w:val="auto"/>
          <w:sz w:val="21"/>
          <w:szCs w:val="21"/>
          <w:lang w:eastAsia="zh-CN"/>
        </w:rPr>
        <w:t>乙方</w:t>
      </w:r>
      <w:r>
        <w:rPr>
          <w:rFonts w:hint="eastAsia" w:ascii="方正仿宋_GB18030" w:hAnsi="方正仿宋_GB18030" w:eastAsia="方正仿宋_GB18030" w:cs="方正仿宋_GB18030"/>
          <w:color w:val="auto"/>
          <w:sz w:val="21"/>
          <w:szCs w:val="21"/>
        </w:rPr>
        <w:t>应本着认真负责的态度组织技术支持服务队伍，采取有效措施，做好技术支持服务。</w:t>
      </w:r>
    </w:p>
    <w:p w14:paraId="3922153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第四条 安全运营</w:t>
      </w:r>
    </w:p>
    <w:p w14:paraId="3643F8E6">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rPr>
      </w:pPr>
      <w:r>
        <w:rPr>
          <w:rFonts w:hint="eastAsia" w:ascii="方正仿宋_GB18030" w:hAnsi="方正仿宋_GB18030" w:eastAsia="方正仿宋_GB18030" w:cs="方正仿宋_GB18030"/>
          <w:color w:val="auto"/>
          <w:kern w:val="2"/>
          <w:sz w:val="21"/>
          <w:szCs w:val="21"/>
        </w:rPr>
        <w:t>（一）安全运营服务</w:t>
      </w:r>
    </w:p>
    <w:p w14:paraId="488980AC">
      <w:pPr>
        <w:keepNext w:val="0"/>
        <w:keepLines w:val="0"/>
        <w:pageBreakBefore w:val="0"/>
        <w:kinsoku/>
        <w:wordWrap/>
        <w:overflowPunct/>
        <w:topLinePunct w:val="0"/>
        <w:bidi w:val="0"/>
        <w:snapToGrid/>
        <w:spacing w:line="460" w:lineRule="exact"/>
        <w:ind w:firstLine="420" w:firstLineChars="200"/>
        <w:rPr>
          <w:rFonts w:hint="default" w:ascii="方正仿宋_GB18030" w:hAnsi="方正仿宋_GB18030" w:eastAsia="方正仿宋_GB18030" w:cs="方正仿宋_GB18030"/>
          <w:color w:val="auto"/>
          <w:kern w:val="2"/>
          <w:sz w:val="21"/>
          <w:szCs w:val="21"/>
          <w:lang w:val="en-US" w:eastAsia="zh-CN" w:bidi="ar-SA"/>
        </w:rPr>
      </w:pPr>
      <w:r>
        <w:rPr>
          <w:rFonts w:hint="eastAsia" w:ascii="方正仿宋_GB18030" w:hAnsi="方正仿宋_GB18030" w:eastAsia="方正仿宋_GB18030" w:cs="方正仿宋_GB18030"/>
          <w:color w:val="auto"/>
          <w:kern w:val="2"/>
          <w:sz w:val="21"/>
          <w:szCs w:val="21"/>
          <w:lang w:val="en-US" w:eastAsia="zh-CN" w:bidi="ar-SA"/>
        </w:rPr>
        <w:t>乙方应提供三年的安全运营服务。服务内容为：</w:t>
      </w:r>
    </w:p>
    <w:p w14:paraId="6BFA6350">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lang w:eastAsia="zh-CN"/>
        </w:rPr>
      </w:pPr>
      <w:r>
        <w:rPr>
          <w:rFonts w:hint="eastAsia" w:ascii="方正仿宋_GB18030" w:hAnsi="方正仿宋_GB18030" w:eastAsia="方正仿宋_GB18030" w:cs="方正仿宋_GB18030"/>
          <w:color w:val="auto"/>
          <w:kern w:val="2"/>
          <w:sz w:val="21"/>
          <w:szCs w:val="21"/>
        </w:rPr>
        <w:t>1.周期性安全巡检服务：服务期内每季度提供1次安全设备巡检服务，周期性对部署的安全设备进行监控巡检，包括但不限于CPU、内存、用户、许可证书、防护日志等，对发现的安全事件进行跟踪、分析、上报和处理。对安全设备、安全平台的日志、告警数据进行专项分析研判，并且对探针采集的数据进行分析，处理异常情况。</w:t>
      </w:r>
    </w:p>
    <w:p w14:paraId="04275881">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lang w:eastAsia="zh-CN"/>
        </w:rPr>
      </w:pPr>
      <w:r>
        <w:rPr>
          <w:rFonts w:hint="eastAsia" w:ascii="方正仿宋_GB18030" w:hAnsi="方正仿宋_GB18030" w:eastAsia="方正仿宋_GB18030" w:cs="方正仿宋_GB18030"/>
          <w:color w:val="auto"/>
          <w:kern w:val="2"/>
          <w:sz w:val="21"/>
          <w:szCs w:val="21"/>
        </w:rPr>
        <w:t>2.常态化漏洞扫描服务：服务期内每季度提供1次漏洞扫描服务，安全服务人员通过工具+人工的方式对甲方资产进行全面、深入的漏洞检测。将包含网络设备、安全设备、主机系统、web应用、数据库系统等利用漏洞检测工具进行漏洞检测，检测完成后进行高风险漏洞验证，并提出专业的漏洞安全解决方案和建议，并协助整改。</w:t>
      </w:r>
    </w:p>
    <w:p w14:paraId="6B2A0C3C">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lang w:eastAsia="zh-CN"/>
        </w:rPr>
      </w:pPr>
      <w:r>
        <w:rPr>
          <w:rFonts w:hint="eastAsia" w:ascii="方正仿宋_GB18030" w:hAnsi="方正仿宋_GB18030" w:eastAsia="方正仿宋_GB18030" w:cs="方正仿宋_GB18030"/>
          <w:color w:val="auto"/>
          <w:kern w:val="2"/>
          <w:sz w:val="21"/>
          <w:szCs w:val="21"/>
        </w:rPr>
        <w:t>3.渗透</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：服务安全服务人员对甲方的重要业务系统进行全方位的渗透</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评估，对发现的弱口令、安全漏洞验证是否可以获取系统主机控制权、应用系统控制权、数据库数据、验证是否可以通过系统做跳板可以入侵内网。渗透点（包括但不限于）操作系统漏洞、数据库系统漏洞、Web服务漏洞、中间件漏洞、网络设备漏洞、Ftp服务漏洞、远程控制漏洞、网络边界漏洞、信任机制漏洞、恶意代码漏洞、缓冲区溢出、账号密码弱口令</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、ARP欺骗</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和其他方式的</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手段。最终出具详细的渗透</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流程及渗透</w:t>
      </w:r>
      <w:r>
        <w:rPr>
          <w:rFonts w:hint="eastAsia" w:ascii="方正仿宋_GB18030" w:hAnsi="方正仿宋_GB18030" w:eastAsia="方正仿宋_GB18030" w:cs="方正仿宋_GB18030"/>
          <w:color w:val="auto"/>
          <w:kern w:val="2"/>
          <w:sz w:val="21"/>
          <w:szCs w:val="21"/>
          <w:lang w:eastAsia="zh-CN"/>
        </w:rPr>
        <w:t>调试</w:t>
      </w:r>
      <w:r>
        <w:rPr>
          <w:rFonts w:hint="eastAsia" w:ascii="方正仿宋_GB18030" w:hAnsi="方正仿宋_GB18030" w:eastAsia="方正仿宋_GB18030" w:cs="方正仿宋_GB18030"/>
          <w:color w:val="auto"/>
          <w:kern w:val="2"/>
          <w:sz w:val="21"/>
          <w:szCs w:val="21"/>
        </w:rPr>
        <w:t>报告，并提供整改优化建议。每半年开展1次。</w:t>
      </w:r>
    </w:p>
    <w:p w14:paraId="354B9603">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lang w:eastAsia="zh-CN"/>
        </w:rPr>
      </w:pPr>
      <w:r>
        <w:rPr>
          <w:rFonts w:hint="eastAsia" w:ascii="方正仿宋_GB18030" w:hAnsi="方正仿宋_GB18030" w:eastAsia="方正仿宋_GB18030" w:cs="方正仿宋_GB18030"/>
          <w:color w:val="auto"/>
          <w:kern w:val="2"/>
          <w:sz w:val="21"/>
          <w:szCs w:val="21"/>
        </w:rPr>
        <w:t>4.突发安全事件应急响应服务：服务期内协助甲方对发生的国内重大、重要事件以及全网突发的重大安全事件提供7*24小时线上+线下的应急支持服务。在安全事件发生后，及时对异常的系统、网络进行分析，确定安全事件的各项技术细节，保留相关证据并制定进一步的响应策略；及时采取行动限制安全事件扩散和影响的范围，限制潜在的损失与破坏，保障系统正常运行；事后要通过对有关安全事件或异常行为的分析结果，找出根源，明确相应的补救措施并协助完成彻底清除；协助恢复安全事件所涉及的系统，并还原到正常状态，使业务能够正常运行。每年不少于3次。</w:t>
      </w:r>
    </w:p>
    <w:p w14:paraId="47CB04A9">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lang w:eastAsia="zh-CN"/>
        </w:rPr>
      </w:pPr>
      <w:r>
        <w:rPr>
          <w:rFonts w:hint="eastAsia" w:ascii="方正仿宋_GB18030" w:hAnsi="方正仿宋_GB18030" w:eastAsia="方正仿宋_GB18030" w:cs="方正仿宋_GB18030"/>
          <w:color w:val="auto"/>
          <w:kern w:val="2"/>
          <w:sz w:val="21"/>
          <w:szCs w:val="21"/>
        </w:rPr>
        <w:t>5.重大活动安全保障服务：服务期内提供1名具备丰富护网与重保实战经验的安全专家配合现场人员开展监控值守与保障总结工作，全面保障在重要时期不发生重大网络安全事件，高效顺利的完成保障任务。保障时间不少于15人天。</w:t>
      </w:r>
    </w:p>
    <w:p w14:paraId="7F34271A">
      <w:pPr>
        <w:pStyle w:val="12"/>
        <w:keepNext w:val="0"/>
        <w:keepLines w:val="0"/>
        <w:pageBreakBefore w:val="0"/>
        <w:kinsoku/>
        <w:wordWrap/>
        <w:overflowPunct/>
        <w:topLinePunct w:val="0"/>
        <w:autoSpaceDE/>
        <w:autoSpaceDN/>
        <w:bidi w:val="0"/>
        <w:snapToGrid/>
        <w:spacing w:before="0" w:after="0" w:line="460" w:lineRule="exact"/>
        <w:ind w:firstLine="420" w:firstLineChars="200"/>
        <w:rPr>
          <w:rFonts w:hint="eastAsia" w:ascii="方正仿宋_GB18030" w:hAnsi="方正仿宋_GB18030" w:eastAsia="方正仿宋_GB18030" w:cs="方正仿宋_GB18030"/>
          <w:color w:val="auto"/>
          <w:kern w:val="2"/>
          <w:sz w:val="21"/>
          <w:szCs w:val="21"/>
        </w:rPr>
      </w:pPr>
      <w:r>
        <w:rPr>
          <w:rFonts w:hint="eastAsia" w:ascii="方正仿宋_GB18030" w:hAnsi="方正仿宋_GB18030" w:eastAsia="方正仿宋_GB18030" w:cs="方正仿宋_GB18030"/>
          <w:color w:val="auto"/>
          <w:kern w:val="2"/>
          <w:sz w:val="21"/>
          <w:szCs w:val="21"/>
        </w:rPr>
        <w:t>（二）乙方指定</w:t>
      </w:r>
      <w:r>
        <w:rPr>
          <w:rFonts w:hint="eastAsia" w:ascii="方正仿宋_GB18030" w:hAnsi="方正仿宋_GB18030" w:eastAsia="方正仿宋_GB18030" w:cs="方正仿宋_GB18030"/>
          <w:color w:val="auto"/>
          <w:kern w:val="2"/>
          <w:sz w:val="21"/>
          <w:szCs w:val="21"/>
          <w:u w:val="single"/>
          <w:lang w:val="en-US" w:eastAsia="zh-CN"/>
        </w:rPr>
        <w:t xml:space="preserve">      </w:t>
      </w:r>
      <w:r>
        <w:rPr>
          <w:rFonts w:hint="eastAsia" w:ascii="方正仿宋_GB18030" w:hAnsi="方正仿宋_GB18030" w:eastAsia="方正仿宋_GB18030" w:cs="方正仿宋_GB18030"/>
          <w:color w:val="auto"/>
          <w:kern w:val="2"/>
          <w:sz w:val="21"/>
          <w:szCs w:val="21"/>
        </w:rPr>
        <w:t>为本合同项目</w:t>
      </w:r>
      <w:r>
        <w:rPr>
          <w:rFonts w:hint="eastAsia" w:ascii="方正仿宋_GB18030" w:hAnsi="方正仿宋_GB18030" w:eastAsia="方正仿宋_GB18030" w:cs="方正仿宋_GB18030"/>
          <w:color w:val="auto"/>
          <w:kern w:val="2"/>
          <w:sz w:val="21"/>
          <w:szCs w:val="21"/>
          <w:lang w:val="en-US" w:eastAsia="zh-CN"/>
        </w:rPr>
        <w:t>负责人</w:t>
      </w:r>
      <w:r>
        <w:rPr>
          <w:rFonts w:hint="eastAsia" w:ascii="方正仿宋_GB18030" w:hAnsi="方正仿宋_GB18030" w:eastAsia="方正仿宋_GB18030" w:cs="方正仿宋_GB18030"/>
          <w:color w:val="auto"/>
          <w:kern w:val="2"/>
          <w:sz w:val="21"/>
          <w:szCs w:val="21"/>
        </w:rPr>
        <w:t>，负责项目建设的全面协调工作。</w:t>
      </w:r>
    </w:p>
    <w:p w14:paraId="476268F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rPr>
        <w:t>第五条</w:t>
      </w:r>
      <w:r>
        <w:rPr>
          <w:rFonts w:hint="eastAsia" w:ascii="方正仿宋_GB18030" w:hAnsi="方正仿宋_GB18030" w:eastAsia="方正仿宋_GB18030" w:cs="方正仿宋_GB18030"/>
          <w:b/>
          <w:bCs/>
          <w:color w:val="auto"/>
          <w:sz w:val="21"/>
          <w:szCs w:val="21"/>
          <w:lang w:val="en-US" w:eastAsia="zh-CN"/>
        </w:rPr>
        <w:t xml:space="preserve">  付款方式</w:t>
      </w:r>
    </w:p>
    <w:p w14:paraId="63C1299A">
      <w:pPr>
        <w:keepNext w:val="0"/>
        <w:keepLines w:val="0"/>
        <w:pageBreakBefore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1、项目总费用</w:t>
      </w:r>
    </w:p>
    <w:p w14:paraId="599AFBB5">
      <w:pPr>
        <w:keepNext w:val="0"/>
        <w:keepLines w:val="0"/>
        <w:pageBreakBefore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双方确认，甲方需向乙方支付的项目总费用为</w:t>
      </w:r>
      <w:r>
        <w:rPr>
          <w:rFonts w:hint="eastAsia" w:ascii="方正仿宋_GB18030" w:hAnsi="方正仿宋_GB18030" w:eastAsia="方正仿宋_GB18030" w:cs="方正仿宋_GB18030"/>
          <w:color w:val="auto"/>
          <w:sz w:val="21"/>
          <w:szCs w:val="21"/>
          <w:u w:val="single"/>
        </w:rPr>
        <w:t xml:space="preserve">¥ </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元 （大写：人民币</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），该金额包括乙方为履行本合同义务而进行的</w:t>
      </w:r>
      <w:r>
        <w:rPr>
          <w:rFonts w:hint="eastAsia" w:ascii="方正仿宋_GB18030" w:hAnsi="方正仿宋_GB18030" w:eastAsia="方正仿宋_GB18030" w:cs="方正仿宋_GB18030"/>
          <w:color w:val="auto"/>
          <w:sz w:val="21"/>
          <w:szCs w:val="21"/>
          <w:lang w:eastAsia="zh-CN"/>
        </w:rPr>
        <w:t>软硬件安装</w:t>
      </w:r>
      <w:r>
        <w:rPr>
          <w:rFonts w:hint="eastAsia" w:ascii="方正仿宋_GB18030" w:hAnsi="方正仿宋_GB18030" w:eastAsia="方正仿宋_GB18030" w:cs="方正仿宋_GB18030"/>
          <w:color w:val="auto"/>
          <w:sz w:val="21"/>
          <w:szCs w:val="21"/>
          <w:lang w:val="en-US" w:eastAsia="zh-CN"/>
        </w:rPr>
        <w:t>调试、</w:t>
      </w:r>
      <w:r>
        <w:rPr>
          <w:rFonts w:hint="eastAsia" w:ascii="方正仿宋_GB18030" w:hAnsi="方正仿宋_GB18030" w:eastAsia="方正仿宋_GB18030" w:cs="方正仿宋_GB18030"/>
          <w:color w:val="auto"/>
          <w:sz w:val="21"/>
          <w:szCs w:val="21"/>
        </w:rPr>
        <w:t>上线</w:t>
      </w:r>
      <w:r>
        <w:rPr>
          <w:rFonts w:hint="eastAsia" w:ascii="方正仿宋_GB18030" w:hAnsi="方正仿宋_GB18030" w:eastAsia="方正仿宋_GB18030" w:cs="方正仿宋_GB18030"/>
          <w:color w:val="auto"/>
          <w:sz w:val="21"/>
          <w:szCs w:val="21"/>
          <w:lang w:eastAsia="zh-CN"/>
        </w:rPr>
        <w:t>运行</w:t>
      </w:r>
      <w:r>
        <w:rPr>
          <w:rFonts w:hint="eastAsia" w:ascii="方正仿宋_GB18030" w:hAnsi="方正仿宋_GB18030" w:eastAsia="方正仿宋_GB18030" w:cs="方正仿宋_GB18030"/>
          <w:color w:val="auto"/>
          <w:sz w:val="21"/>
          <w:szCs w:val="21"/>
        </w:rPr>
        <w:t>管理以及</w:t>
      </w:r>
      <w:r>
        <w:rPr>
          <w:rFonts w:hint="eastAsia" w:ascii="方正仿宋_GB18030" w:hAnsi="方正仿宋_GB18030" w:eastAsia="方正仿宋_GB18030" w:cs="方正仿宋_GB18030"/>
          <w:color w:val="auto"/>
          <w:sz w:val="21"/>
          <w:szCs w:val="21"/>
          <w:lang w:val="en-US" w:eastAsia="zh-CN"/>
        </w:rPr>
        <w:t>安全运营</w:t>
      </w:r>
      <w:r>
        <w:rPr>
          <w:rFonts w:hint="eastAsia" w:ascii="方正仿宋_GB18030" w:hAnsi="方正仿宋_GB18030" w:eastAsia="方正仿宋_GB18030" w:cs="方正仿宋_GB18030"/>
          <w:color w:val="auto"/>
          <w:sz w:val="21"/>
          <w:szCs w:val="21"/>
        </w:rPr>
        <w:t>服务等全部费用。</w:t>
      </w:r>
    </w:p>
    <w:p w14:paraId="7FA55A1C">
      <w:pPr>
        <w:keepNext w:val="0"/>
        <w:keepLines w:val="0"/>
        <w:pageBreakBefore w:val="0"/>
        <w:kinsoku/>
        <w:wordWrap/>
        <w:overflowPunct/>
        <w:topLinePunct w:val="0"/>
        <w:autoSpaceDE/>
        <w:autoSpaceDN/>
        <w:bidi w:val="0"/>
        <w:snapToGrid/>
        <w:spacing w:line="460" w:lineRule="exact"/>
        <w:ind w:firstLine="420" w:firstLineChars="200"/>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 xml:space="preserve">（1）项目全部费用  </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129"/>
        <w:gridCol w:w="1206"/>
        <w:gridCol w:w="842"/>
        <w:gridCol w:w="1025"/>
        <w:gridCol w:w="1025"/>
        <w:gridCol w:w="1025"/>
        <w:gridCol w:w="1025"/>
        <w:gridCol w:w="1034"/>
      </w:tblGrid>
      <w:tr w14:paraId="3B3D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8" w:type="pct"/>
            <w:vAlign w:val="center"/>
          </w:tcPr>
          <w:p w14:paraId="0EC29139">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序号</w:t>
            </w:r>
          </w:p>
        </w:tc>
        <w:tc>
          <w:tcPr>
            <w:tcW w:w="612" w:type="pct"/>
            <w:vAlign w:val="center"/>
          </w:tcPr>
          <w:p w14:paraId="0323C382">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产品名称</w:t>
            </w:r>
          </w:p>
        </w:tc>
        <w:tc>
          <w:tcPr>
            <w:tcW w:w="653" w:type="pct"/>
            <w:vAlign w:val="center"/>
          </w:tcPr>
          <w:p w14:paraId="0E101657">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规格型号</w:t>
            </w:r>
          </w:p>
        </w:tc>
        <w:tc>
          <w:tcPr>
            <w:tcW w:w="456" w:type="pct"/>
            <w:vAlign w:val="center"/>
          </w:tcPr>
          <w:p w14:paraId="1A35BF5B">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品牌</w:t>
            </w:r>
          </w:p>
        </w:tc>
        <w:tc>
          <w:tcPr>
            <w:tcW w:w="555" w:type="pct"/>
            <w:vAlign w:val="center"/>
          </w:tcPr>
          <w:p w14:paraId="23EDFD6E">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开发商/制造商</w:t>
            </w:r>
          </w:p>
        </w:tc>
        <w:tc>
          <w:tcPr>
            <w:tcW w:w="555" w:type="pct"/>
            <w:vAlign w:val="center"/>
          </w:tcPr>
          <w:p w14:paraId="7C202300">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数量</w:t>
            </w:r>
          </w:p>
        </w:tc>
        <w:tc>
          <w:tcPr>
            <w:tcW w:w="555" w:type="pct"/>
            <w:vAlign w:val="center"/>
          </w:tcPr>
          <w:p w14:paraId="77EBA01F">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单位</w:t>
            </w:r>
          </w:p>
        </w:tc>
        <w:tc>
          <w:tcPr>
            <w:tcW w:w="555" w:type="pct"/>
            <w:vAlign w:val="center"/>
          </w:tcPr>
          <w:p w14:paraId="256ABF79">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单价</w:t>
            </w:r>
          </w:p>
        </w:tc>
        <w:tc>
          <w:tcPr>
            <w:tcW w:w="558" w:type="pct"/>
            <w:vAlign w:val="center"/>
          </w:tcPr>
          <w:p w14:paraId="0B404254">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bCs w:val="0"/>
                <w:color w:val="auto"/>
                <w:kern w:val="0"/>
                <w:szCs w:val="21"/>
              </w:rPr>
            </w:pPr>
            <w:r>
              <w:rPr>
                <w:rFonts w:hint="eastAsia" w:ascii="方正仿宋_GB18030" w:hAnsi="方正仿宋_GB18030" w:eastAsia="方正仿宋_GB18030" w:cs="方正仿宋_GB18030"/>
                <w:b/>
                <w:bCs w:val="0"/>
                <w:color w:val="auto"/>
                <w:kern w:val="0"/>
                <w:szCs w:val="21"/>
                <w:lang w:val="en-US" w:eastAsia="zh-CN"/>
              </w:rPr>
              <w:t>合价</w:t>
            </w:r>
          </w:p>
        </w:tc>
      </w:tr>
      <w:tr w14:paraId="5D03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8" w:type="pct"/>
            <w:vAlign w:val="center"/>
          </w:tcPr>
          <w:p w14:paraId="370A6898">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612" w:type="pct"/>
            <w:vAlign w:val="center"/>
          </w:tcPr>
          <w:p w14:paraId="255B6889">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653" w:type="pct"/>
            <w:vAlign w:val="center"/>
          </w:tcPr>
          <w:p w14:paraId="3EC61707">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456" w:type="pct"/>
          </w:tcPr>
          <w:p w14:paraId="506E376A">
            <w:pPr>
              <w:keepNext w:val="0"/>
              <w:keepLines w:val="0"/>
              <w:pageBreakBefore w:val="0"/>
              <w:widowControl/>
              <w:shd w:val="clear"/>
              <w:kinsoku/>
              <w:wordWrap/>
              <w:overflowPunct/>
              <w:topLinePunct w:val="0"/>
              <w:bidi w:val="0"/>
              <w:snapToGrid/>
              <w:spacing w:line="460" w:lineRule="exact"/>
              <w:jc w:val="left"/>
              <w:rPr>
                <w:rFonts w:hint="eastAsia" w:ascii="方正仿宋_GB18030" w:hAnsi="方正仿宋_GB18030" w:eastAsia="方正仿宋_GB18030" w:cs="方正仿宋_GB18030"/>
                <w:b w:val="0"/>
                <w:bCs/>
                <w:color w:val="auto"/>
                <w:kern w:val="0"/>
                <w:szCs w:val="21"/>
              </w:rPr>
            </w:pPr>
          </w:p>
        </w:tc>
        <w:tc>
          <w:tcPr>
            <w:tcW w:w="555" w:type="pct"/>
            <w:vAlign w:val="center"/>
          </w:tcPr>
          <w:p w14:paraId="4A34395C">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5089678C">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425639A1">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00EDB22E">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8" w:type="pct"/>
            <w:noWrap/>
            <w:vAlign w:val="center"/>
          </w:tcPr>
          <w:p w14:paraId="39D93646">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r>
      <w:tr w14:paraId="1D60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8" w:type="pct"/>
            <w:vAlign w:val="center"/>
          </w:tcPr>
          <w:p w14:paraId="0DBA52F3">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612" w:type="pct"/>
            <w:vAlign w:val="center"/>
          </w:tcPr>
          <w:p w14:paraId="400CE6A1">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sz w:val="24"/>
              </w:rPr>
            </w:pPr>
          </w:p>
        </w:tc>
        <w:tc>
          <w:tcPr>
            <w:tcW w:w="653" w:type="pct"/>
            <w:vAlign w:val="center"/>
          </w:tcPr>
          <w:p w14:paraId="49F88ABA">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rPr>
            </w:pPr>
          </w:p>
        </w:tc>
        <w:tc>
          <w:tcPr>
            <w:tcW w:w="456" w:type="pct"/>
          </w:tcPr>
          <w:p w14:paraId="5EEECC0C">
            <w:pPr>
              <w:keepNext w:val="0"/>
              <w:keepLines w:val="0"/>
              <w:pageBreakBefore w:val="0"/>
              <w:widowControl/>
              <w:shd w:val="clear"/>
              <w:kinsoku/>
              <w:wordWrap/>
              <w:overflowPunct/>
              <w:topLinePunct w:val="0"/>
              <w:bidi w:val="0"/>
              <w:snapToGrid/>
              <w:spacing w:line="460" w:lineRule="exact"/>
              <w:jc w:val="left"/>
              <w:rPr>
                <w:rFonts w:hint="eastAsia" w:ascii="方正仿宋_GB18030" w:hAnsi="方正仿宋_GB18030" w:eastAsia="方正仿宋_GB18030" w:cs="方正仿宋_GB18030"/>
                <w:b w:val="0"/>
                <w:bCs/>
                <w:color w:val="auto"/>
                <w:kern w:val="0"/>
                <w:szCs w:val="21"/>
              </w:rPr>
            </w:pPr>
          </w:p>
        </w:tc>
        <w:tc>
          <w:tcPr>
            <w:tcW w:w="555" w:type="pct"/>
            <w:vAlign w:val="center"/>
          </w:tcPr>
          <w:p w14:paraId="0A16D755">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294F8BBB">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6BB05315">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5" w:type="pct"/>
            <w:vAlign w:val="center"/>
          </w:tcPr>
          <w:p w14:paraId="667037C6">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c>
          <w:tcPr>
            <w:tcW w:w="558" w:type="pct"/>
            <w:noWrap/>
            <w:vAlign w:val="center"/>
          </w:tcPr>
          <w:p w14:paraId="7A189D8A">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p>
        </w:tc>
      </w:tr>
      <w:tr w14:paraId="46BE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0" w:type="pct"/>
            <w:gridSpan w:val="2"/>
            <w:vAlign w:val="center"/>
          </w:tcPr>
          <w:p w14:paraId="58C13CAA">
            <w:pPr>
              <w:keepNext w:val="0"/>
              <w:keepLines w:val="0"/>
              <w:pageBreakBefore w:val="0"/>
              <w:widowControl/>
              <w:shd w:val="clear"/>
              <w:kinsoku/>
              <w:wordWrap/>
              <w:overflowPunct/>
              <w:topLinePunct w:val="0"/>
              <w:bidi w:val="0"/>
              <w:snapToGrid/>
              <w:spacing w:line="460" w:lineRule="exact"/>
              <w:jc w:val="center"/>
              <w:rPr>
                <w:rFonts w:hint="eastAsia" w:ascii="方正仿宋_GB18030" w:hAnsi="方正仿宋_GB18030" w:eastAsia="方正仿宋_GB18030" w:cs="方正仿宋_GB18030"/>
                <w:b w:val="0"/>
                <w:bCs/>
                <w:color w:val="auto"/>
                <w:kern w:val="0"/>
                <w:szCs w:val="21"/>
              </w:rPr>
            </w:pPr>
            <w:r>
              <w:rPr>
                <w:rFonts w:hint="eastAsia" w:ascii="方正仿宋_GB18030" w:hAnsi="方正仿宋_GB18030" w:eastAsia="方正仿宋_GB18030" w:cs="方正仿宋_GB18030"/>
                <w:b w:val="0"/>
                <w:bCs/>
                <w:color w:val="auto"/>
                <w:kern w:val="0"/>
                <w:szCs w:val="21"/>
              </w:rPr>
              <w:t>合计</w:t>
            </w:r>
          </w:p>
        </w:tc>
        <w:tc>
          <w:tcPr>
            <w:tcW w:w="3889" w:type="pct"/>
            <w:gridSpan w:val="7"/>
            <w:vAlign w:val="center"/>
          </w:tcPr>
          <w:p w14:paraId="08412898">
            <w:pPr>
              <w:keepNext w:val="0"/>
              <w:keepLines w:val="0"/>
              <w:pageBreakBefore w:val="0"/>
              <w:widowControl/>
              <w:shd w:val="clear"/>
              <w:kinsoku/>
              <w:wordWrap/>
              <w:overflowPunct/>
              <w:topLinePunct w:val="0"/>
              <w:bidi w:val="0"/>
              <w:snapToGrid/>
              <w:spacing w:line="460" w:lineRule="exact"/>
              <w:jc w:val="left"/>
              <w:rPr>
                <w:rFonts w:hint="eastAsia" w:ascii="方正仿宋_GB18030" w:hAnsi="方正仿宋_GB18030" w:eastAsia="方正仿宋_GB18030" w:cs="方正仿宋_GB18030"/>
                <w:b w:val="0"/>
                <w:bCs/>
                <w:color w:val="auto"/>
                <w:kern w:val="0"/>
                <w:szCs w:val="21"/>
              </w:rPr>
            </w:pPr>
            <w:r>
              <w:rPr>
                <w:rFonts w:hint="eastAsia" w:ascii="方正仿宋_GB18030" w:hAnsi="方正仿宋_GB18030" w:eastAsia="方正仿宋_GB18030" w:cs="方正仿宋_GB18030"/>
                <w:b w:val="0"/>
                <w:bCs/>
                <w:color w:val="auto"/>
                <w:kern w:val="0"/>
                <w:szCs w:val="21"/>
              </w:rPr>
              <w:t>人民币（大写）：</w:t>
            </w:r>
            <w:bookmarkStart w:id="0" w:name="_Hlk204006452"/>
            <w:r>
              <w:rPr>
                <w:rFonts w:hint="eastAsia" w:ascii="方正仿宋_GB18030" w:hAnsi="方正仿宋_GB18030" w:eastAsia="方正仿宋_GB18030" w:cs="方正仿宋_GB18030"/>
                <w:b w:val="0"/>
                <w:bCs/>
                <w:color w:val="auto"/>
                <w:kern w:val="0"/>
                <w:szCs w:val="21"/>
                <w:lang w:val="en-US" w:eastAsia="zh-CN"/>
              </w:rPr>
              <w:t xml:space="preserve">         </w:t>
            </w:r>
            <w:r>
              <w:rPr>
                <w:rFonts w:hint="eastAsia" w:ascii="方正仿宋_GB18030" w:hAnsi="方正仿宋_GB18030" w:eastAsia="方正仿宋_GB18030" w:cs="方正仿宋_GB18030"/>
                <w:b w:val="0"/>
                <w:bCs/>
                <w:color w:val="auto"/>
                <w:kern w:val="0"/>
                <w:szCs w:val="21"/>
              </w:rPr>
              <w:t>，小写：￥</w:t>
            </w:r>
            <w:r>
              <w:rPr>
                <w:rFonts w:hint="eastAsia" w:ascii="方正仿宋_GB18030" w:hAnsi="方正仿宋_GB18030" w:eastAsia="方正仿宋_GB18030" w:cs="方正仿宋_GB18030"/>
                <w:b w:val="0"/>
                <w:bCs/>
                <w:color w:val="auto"/>
                <w:kern w:val="0"/>
                <w:szCs w:val="21"/>
                <w:lang w:val="en-US" w:eastAsia="zh-CN"/>
              </w:rPr>
              <w:t xml:space="preserve">                </w:t>
            </w:r>
            <w:r>
              <w:rPr>
                <w:rFonts w:hint="eastAsia" w:ascii="方正仿宋_GB18030" w:hAnsi="方正仿宋_GB18030" w:eastAsia="方正仿宋_GB18030" w:cs="方正仿宋_GB18030"/>
                <w:b w:val="0"/>
                <w:bCs/>
                <w:color w:val="auto"/>
                <w:kern w:val="0"/>
                <w:szCs w:val="21"/>
              </w:rPr>
              <w:t>元</w:t>
            </w:r>
            <w:bookmarkEnd w:id="0"/>
            <w:r>
              <w:rPr>
                <w:rFonts w:hint="eastAsia" w:ascii="方正仿宋_GB18030" w:hAnsi="方正仿宋_GB18030" w:eastAsia="方正仿宋_GB18030" w:cs="方正仿宋_GB18030"/>
                <w:b w:val="0"/>
                <w:bCs/>
                <w:color w:val="auto"/>
                <w:kern w:val="0"/>
                <w:szCs w:val="21"/>
              </w:rPr>
              <w:t xml:space="preserve">。  </w:t>
            </w:r>
          </w:p>
        </w:tc>
      </w:tr>
    </w:tbl>
    <w:p w14:paraId="325ED1E2">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shd w:val="clear" w:color="auto" w:fill="FFFFFF"/>
          <w:lang w:eastAsia="zh-CN"/>
        </w:rPr>
      </w:pPr>
      <w:r>
        <w:rPr>
          <w:rFonts w:hint="eastAsia" w:ascii="方正仿宋_GB18030" w:hAnsi="方正仿宋_GB18030" w:eastAsia="方正仿宋_GB18030" w:cs="方正仿宋_GB18030"/>
          <w:b/>
          <w:bCs/>
          <w:color w:val="auto"/>
          <w:sz w:val="21"/>
          <w:szCs w:val="21"/>
          <w:shd w:val="clear" w:color="auto" w:fill="FFFFFF"/>
          <w:lang w:eastAsia="zh-CN"/>
        </w:rPr>
        <w:t>（</w:t>
      </w:r>
      <w:r>
        <w:rPr>
          <w:rFonts w:hint="eastAsia" w:ascii="方正仿宋_GB18030" w:hAnsi="方正仿宋_GB18030" w:eastAsia="方正仿宋_GB18030" w:cs="方正仿宋_GB18030"/>
          <w:b/>
          <w:bCs/>
          <w:color w:val="auto"/>
          <w:sz w:val="21"/>
          <w:szCs w:val="21"/>
          <w:shd w:val="clear" w:color="auto" w:fill="FFFFFF"/>
          <w:lang w:val="en-US" w:eastAsia="zh-CN"/>
        </w:rPr>
        <w:t>注：以上单价执行标准为乙方“初步报价单价×最终报价÷初步报价”</w:t>
      </w:r>
      <w:r>
        <w:rPr>
          <w:rFonts w:hint="eastAsia" w:ascii="方正仿宋_GB18030" w:hAnsi="方正仿宋_GB18030" w:eastAsia="方正仿宋_GB18030" w:cs="方正仿宋_GB18030"/>
          <w:b/>
          <w:bCs/>
          <w:color w:val="auto"/>
          <w:sz w:val="21"/>
          <w:szCs w:val="21"/>
          <w:shd w:val="clear" w:color="auto" w:fill="FFFFFF"/>
          <w:lang w:eastAsia="zh-CN"/>
        </w:rPr>
        <w:t>）</w:t>
      </w:r>
    </w:p>
    <w:p w14:paraId="01E1D79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2、付款条件与时间</w:t>
      </w:r>
    </w:p>
    <w:p w14:paraId="252FBE27">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合同签订后，达到付款条件起 30 日内，支付合同总金额的 70%。项目验收合格后，按照财政决算评审金额，达到付款条件起 30 日内，支付合同总金额的 30%。</w:t>
      </w:r>
    </w:p>
    <w:p w14:paraId="6039B199">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乙方开户银行名称和帐号：</w:t>
      </w:r>
    </w:p>
    <w:p w14:paraId="7F93D4C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u w:val="single"/>
          <w:lang w:val="en-US" w:eastAsia="zh-CN"/>
        </w:rPr>
      </w:pPr>
      <w:r>
        <w:rPr>
          <w:rFonts w:hint="eastAsia" w:ascii="方正仿宋_GB18030" w:hAnsi="方正仿宋_GB18030" w:eastAsia="方正仿宋_GB18030" w:cs="方正仿宋_GB18030"/>
          <w:color w:val="auto"/>
          <w:sz w:val="21"/>
          <w:szCs w:val="21"/>
        </w:rPr>
        <w:t>开户名称：</w:t>
      </w:r>
      <w:r>
        <w:rPr>
          <w:rFonts w:hint="eastAsia" w:ascii="方正仿宋_GB18030" w:hAnsi="方正仿宋_GB18030" w:eastAsia="方正仿宋_GB18030" w:cs="方正仿宋_GB18030"/>
          <w:color w:val="auto"/>
          <w:sz w:val="21"/>
          <w:szCs w:val="21"/>
          <w:u w:val="single"/>
          <w:lang w:val="en-US" w:eastAsia="zh-CN"/>
        </w:rPr>
        <w:t xml:space="preserve">                          </w:t>
      </w:r>
    </w:p>
    <w:p w14:paraId="71EA3212">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开户银行：</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u w:val="single"/>
        </w:rPr>
        <w:t xml:space="preserve">  </w:t>
      </w:r>
    </w:p>
    <w:p w14:paraId="198FEB1C">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帐    号：</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u w:val="single"/>
        </w:rPr>
        <w:t xml:space="preserve">     </w:t>
      </w:r>
      <w:bookmarkStart w:id="1" w:name="_Toc312514236"/>
    </w:p>
    <w:p w14:paraId="3A74B701">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第六条 权利和义务</w:t>
      </w:r>
      <w:bookmarkEnd w:id="1"/>
    </w:p>
    <w:p w14:paraId="1C67B40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（一）甲方的权利和义务</w:t>
      </w:r>
    </w:p>
    <w:p w14:paraId="581BC6E7">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1.甲方有义务在合同规定的条款期限内按期付款。</w:t>
      </w:r>
    </w:p>
    <w:p w14:paraId="29DD1D9C">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2.甲方有权要求乙方按本协议约定的时限完成相关系统建设任务。</w:t>
      </w:r>
    </w:p>
    <w:p w14:paraId="206C865A">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 xml:space="preserve">3.甲方在乙方软件开发过程中提供必要支持。 </w:t>
      </w:r>
    </w:p>
    <w:p w14:paraId="78503C1A">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4.甲方有义务组织协调相关部门配合乙方做好本协议内</w:t>
      </w:r>
      <w:r>
        <w:rPr>
          <w:rFonts w:hint="eastAsia" w:ascii="方正仿宋_GB18030" w:hAnsi="方正仿宋_GB18030" w:eastAsia="方正仿宋_GB18030" w:cs="方正仿宋_GB18030"/>
          <w:color w:val="auto"/>
          <w:sz w:val="21"/>
          <w:szCs w:val="21"/>
          <w:lang w:eastAsia="zh-CN"/>
        </w:rPr>
        <w:t>软硬件安装</w:t>
      </w:r>
      <w:r>
        <w:rPr>
          <w:rFonts w:hint="eastAsia" w:ascii="方正仿宋_GB18030" w:hAnsi="方正仿宋_GB18030" w:eastAsia="方正仿宋_GB18030" w:cs="方正仿宋_GB18030"/>
          <w:color w:val="auto"/>
          <w:sz w:val="21"/>
          <w:szCs w:val="21"/>
        </w:rPr>
        <w:t>、</w:t>
      </w:r>
      <w:r>
        <w:rPr>
          <w:rFonts w:hint="eastAsia" w:ascii="方正仿宋_GB18030" w:hAnsi="方正仿宋_GB18030" w:eastAsia="方正仿宋_GB18030" w:cs="方正仿宋_GB18030"/>
          <w:color w:val="auto"/>
          <w:sz w:val="21"/>
          <w:szCs w:val="21"/>
          <w:lang w:eastAsia="zh-CN"/>
        </w:rPr>
        <w:t>调试</w:t>
      </w:r>
      <w:r>
        <w:rPr>
          <w:rFonts w:hint="eastAsia" w:ascii="方正仿宋_GB18030" w:hAnsi="方正仿宋_GB18030" w:eastAsia="方正仿宋_GB18030" w:cs="方正仿宋_GB18030"/>
          <w:color w:val="auto"/>
          <w:sz w:val="21"/>
          <w:szCs w:val="21"/>
        </w:rPr>
        <w:t>、培训等工作。</w:t>
      </w:r>
    </w:p>
    <w:p w14:paraId="4B210D54">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（二）乙方的权利和义务</w:t>
      </w:r>
    </w:p>
    <w:p w14:paraId="608C6430">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1.乙方负责做好项目详细需求分析、</w:t>
      </w:r>
      <w:r>
        <w:rPr>
          <w:rFonts w:hint="eastAsia" w:ascii="方正仿宋_GB18030" w:hAnsi="方正仿宋_GB18030" w:eastAsia="方正仿宋_GB18030" w:cs="方正仿宋_GB18030"/>
          <w:color w:val="auto"/>
          <w:sz w:val="21"/>
          <w:szCs w:val="21"/>
          <w:lang w:eastAsia="zh-CN"/>
        </w:rPr>
        <w:t>软硬件安装</w:t>
      </w:r>
      <w:r>
        <w:rPr>
          <w:rFonts w:hint="eastAsia" w:ascii="方正仿宋_GB18030" w:hAnsi="方正仿宋_GB18030" w:eastAsia="方正仿宋_GB18030" w:cs="方正仿宋_GB18030"/>
          <w:color w:val="auto"/>
          <w:sz w:val="21"/>
          <w:szCs w:val="21"/>
        </w:rPr>
        <w:t>、调试、培训、技术服务等工作，并向甲方提交相应的项目建设文档。</w:t>
      </w:r>
    </w:p>
    <w:p w14:paraId="6CE03146">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2.乙方承诺必须按本协议确定的时限保质保量完成所有系统</w:t>
      </w:r>
      <w:r>
        <w:rPr>
          <w:rFonts w:hint="eastAsia" w:ascii="方正仿宋_GB18030" w:hAnsi="方正仿宋_GB18030" w:eastAsia="方正仿宋_GB18030" w:cs="方正仿宋_GB18030"/>
          <w:color w:val="auto"/>
          <w:sz w:val="21"/>
          <w:szCs w:val="21"/>
          <w:lang w:eastAsia="zh-CN"/>
        </w:rPr>
        <w:t>软硬件安装</w:t>
      </w:r>
      <w:r>
        <w:rPr>
          <w:rFonts w:hint="eastAsia" w:ascii="方正仿宋_GB18030" w:hAnsi="方正仿宋_GB18030" w:eastAsia="方正仿宋_GB18030" w:cs="方正仿宋_GB18030"/>
          <w:color w:val="auto"/>
          <w:sz w:val="21"/>
          <w:szCs w:val="21"/>
        </w:rPr>
        <w:t>、调试工作,并做好以上所建信息系统甲方业务经办人员的系统操作培训工作。</w:t>
      </w:r>
    </w:p>
    <w:p w14:paraId="75F3369C">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3.乙方有权要求甲方按照项目价格谈判结果支付相应的系统建设费用。</w:t>
      </w:r>
    </w:p>
    <w:p w14:paraId="3B1536CB">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第七条 合同风险</w:t>
      </w:r>
    </w:p>
    <w:p w14:paraId="01AC6F88">
      <w:pPr>
        <w:pStyle w:val="4"/>
        <w:keepNext w:val="0"/>
        <w:keepLines w:val="0"/>
        <w:pageBreakBefore w:val="0"/>
        <w:widowControl/>
        <w:kinsoku/>
        <w:wordWrap/>
        <w:overflowPunct/>
        <w:topLinePunct w:val="0"/>
        <w:bidi w:val="0"/>
        <w:adjustRightInd w:val="0"/>
        <w:snapToGrid/>
        <w:spacing w:line="460" w:lineRule="exact"/>
        <w:ind w:firstLine="420" w:firstLineChars="200"/>
        <w:jc w:val="left"/>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在本合同履行中，因出现在现有技术水平和条件下难以克服的技术困难，导致研究开发失败或部分失败，并造成一方或双方损失的，双方按如下约定承担风险损失：</w:t>
      </w:r>
      <w:r>
        <w:rPr>
          <w:rFonts w:hint="eastAsia" w:ascii="方正仿宋_GB18030" w:hAnsi="方正仿宋_GB18030" w:eastAsia="方正仿宋_GB18030" w:cs="方正仿宋_GB18030"/>
          <w:color w:val="auto"/>
          <w:sz w:val="21"/>
          <w:szCs w:val="21"/>
          <w:u w:val="single"/>
        </w:rPr>
        <w:t>双方协商解决。</w:t>
      </w:r>
    </w:p>
    <w:p w14:paraId="50A4C611">
      <w:pPr>
        <w:pStyle w:val="4"/>
        <w:keepNext w:val="0"/>
        <w:keepLines w:val="0"/>
        <w:pageBreakBefore w:val="0"/>
        <w:widowControl/>
        <w:kinsoku/>
        <w:wordWrap/>
        <w:overflowPunct/>
        <w:topLinePunct w:val="0"/>
        <w:bidi w:val="0"/>
        <w:adjustRightInd w:val="0"/>
        <w:snapToGrid/>
        <w:spacing w:line="460" w:lineRule="exact"/>
        <w:ind w:firstLine="420" w:firstLineChars="200"/>
        <w:jc w:val="left"/>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双方确定，本合同项目的技术风险按</w:t>
      </w:r>
      <w:r>
        <w:rPr>
          <w:rFonts w:hint="eastAsia" w:ascii="方正仿宋_GB18030" w:hAnsi="方正仿宋_GB18030" w:eastAsia="方正仿宋_GB18030" w:cs="方正仿宋_GB18030"/>
          <w:color w:val="auto"/>
          <w:sz w:val="21"/>
          <w:szCs w:val="21"/>
          <w:u w:val="single"/>
        </w:rPr>
        <w:t xml:space="preserve"> 共同承担 </w:t>
      </w:r>
      <w:r>
        <w:rPr>
          <w:rFonts w:hint="eastAsia" w:ascii="方正仿宋_GB18030" w:hAnsi="方正仿宋_GB18030" w:eastAsia="方正仿宋_GB18030" w:cs="方正仿宋_GB18030"/>
          <w:color w:val="auto"/>
          <w:sz w:val="21"/>
          <w:szCs w:val="21"/>
        </w:rPr>
        <w:t>的方式认定。认定技术风险的基本内容应当包括技术风险的存在、范围、程度及损失大小等。认定技术风险的基本条件是：</w:t>
      </w:r>
    </w:p>
    <w:p w14:paraId="73502B7E">
      <w:pPr>
        <w:pStyle w:val="4"/>
        <w:keepNext w:val="0"/>
        <w:keepLines w:val="0"/>
        <w:pageBreakBefore w:val="0"/>
        <w:widowControl/>
        <w:kinsoku/>
        <w:wordWrap/>
        <w:overflowPunct/>
        <w:topLinePunct w:val="0"/>
        <w:bidi w:val="0"/>
        <w:adjustRightInd w:val="0"/>
        <w:snapToGrid/>
        <w:spacing w:line="460" w:lineRule="exact"/>
        <w:ind w:firstLine="420" w:firstLineChars="200"/>
        <w:jc w:val="left"/>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1．本合同项目在现有技术水平条件下具有足够的难度；</w:t>
      </w:r>
    </w:p>
    <w:p w14:paraId="5BFC3CA4">
      <w:pPr>
        <w:pStyle w:val="4"/>
        <w:keepNext w:val="0"/>
        <w:keepLines w:val="0"/>
        <w:pageBreakBefore w:val="0"/>
        <w:widowControl/>
        <w:kinsoku/>
        <w:wordWrap/>
        <w:overflowPunct/>
        <w:topLinePunct w:val="0"/>
        <w:bidi w:val="0"/>
        <w:adjustRightInd w:val="0"/>
        <w:snapToGrid/>
        <w:spacing w:line="460" w:lineRule="exact"/>
        <w:ind w:firstLine="420" w:firstLineChars="200"/>
        <w:jc w:val="left"/>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2．乙方在主观上无过错且经双方共同确认的机构认定研究开发失败为合理的失败。</w:t>
      </w:r>
    </w:p>
    <w:p w14:paraId="2A2051D2">
      <w:pPr>
        <w:pStyle w:val="4"/>
        <w:keepNext w:val="0"/>
        <w:keepLines w:val="0"/>
        <w:pageBreakBefore w:val="0"/>
        <w:widowControl/>
        <w:kinsoku/>
        <w:wordWrap/>
        <w:overflowPunct/>
        <w:topLinePunct w:val="0"/>
        <w:bidi w:val="0"/>
        <w:adjustRightInd w:val="0"/>
        <w:snapToGrid/>
        <w:spacing w:line="460" w:lineRule="exact"/>
        <w:ind w:firstLine="420" w:firstLineChars="200"/>
        <w:jc w:val="left"/>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一方发现技术风险存在并有可能致使研究开发失败或部分失败的情形时，应当在</w:t>
      </w:r>
      <w:r>
        <w:rPr>
          <w:rFonts w:hint="eastAsia" w:ascii="方正仿宋_GB18030" w:hAnsi="方正仿宋_GB18030" w:eastAsia="方正仿宋_GB18030" w:cs="方正仿宋_GB18030"/>
          <w:color w:val="auto"/>
          <w:sz w:val="21"/>
          <w:szCs w:val="21"/>
          <w:u w:val="single"/>
        </w:rPr>
        <w:t xml:space="preserve">  3  </w:t>
      </w:r>
      <w:r>
        <w:rPr>
          <w:rFonts w:hint="eastAsia" w:ascii="方正仿宋_GB18030" w:hAnsi="方正仿宋_GB18030" w:eastAsia="方正仿宋_GB18030" w:cs="方正仿宋_GB18030"/>
          <w:color w:val="auto"/>
          <w:sz w:val="21"/>
          <w:szCs w:val="21"/>
        </w:rPr>
        <w:t>日内通知另一方并采取适当措施减少损失。逾期未通知并未采取适当措施而致使损失扩大的，应当就扩大的损失承担赔偿责任。</w:t>
      </w:r>
    </w:p>
    <w:p w14:paraId="3B6B3C20">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第八条 保密义务</w:t>
      </w:r>
    </w:p>
    <w:p w14:paraId="6DBD598E">
      <w:pPr>
        <w:pStyle w:val="8"/>
        <w:keepNext w:val="0"/>
        <w:keepLines w:val="0"/>
        <w:pageBreakBefore w:val="0"/>
        <w:widowControl/>
        <w:shd w:val="clear" w:color="auto"/>
        <w:kinsoku/>
        <w:wordWrap/>
        <w:overflowPunct/>
        <w:topLinePunct w:val="0"/>
        <w:bidi w:val="0"/>
        <w:snapToGrid/>
        <w:spacing w:before="0" w:beforeAutospacing="0" w:after="0" w:afterAutospacing="0" w:line="460" w:lineRule="exact"/>
        <w:ind w:firstLine="420" w:firstLineChars="200"/>
        <w:rPr>
          <w:rFonts w:hint="eastAsia" w:ascii="方正仿宋_GB2312" w:hAnsi="方正仿宋_GB2312" w:eastAsia="方正仿宋_GB2312" w:cs="方正仿宋_GB2312"/>
          <w:color w:val="auto"/>
          <w:sz w:val="21"/>
          <w:szCs w:val="21"/>
        </w:rPr>
      </w:pPr>
      <w:r>
        <w:rPr>
          <w:rFonts w:hint="eastAsia" w:ascii="方正仿宋_GB2312" w:hAnsi="方正仿宋_GB2312" w:eastAsia="方正仿宋_GB2312" w:cs="方正仿宋_GB2312"/>
          <w:color w:val="auto"/>
          <w:sz w:val="21"/>
          <w:szCs w:val="21"/>
          <w:shd w:val="clear" w:color="auto" w:fill="FFFFFF"/>
        </w:rPr>
        <w:t>合同双方对本合同涉及所有技术资料(包括但不限于质量标准、检验方法、生产流程、工艺技术等)，知识产权(包括但不限于商标、甲方产品外观设计等)及协议内容(包括但不限于价格、合同条款</w:t>
      </w:r>
      <w:r>
        <w:rPr>
          <w:rFonts w:hint="eastAsia" w:ascii="方正仿宋_GB2312" w:hAnsi="方正仿宋_GB2312" w:eastAsia="方正仿宋_GB2312" w:cs="方正仿宋_GB2312"/>
          <w:color w:val="auto"/>
          <w:sz w:val="21"/>
          <w:szCs w:val="21"/>
          <w:shd w:val="clear" w:color="auto" w:fill="FFFFFF"/>
        </w:rPr>
        <w:t>等)均负有保密的义务。非经权利人书面同意，合同双方不得泄露、擅自使用或允许任何第三方人使用或知道。否则，违约方应承担因此而产生的一切经济损失(包括但不限于研发费用、推广费用、广告费用、商誉损失以及末违约方因此而遭到需向其他人付出的所有赔偿)，并向未违约方承担侵权责任。</w:t>
      </w:r>
    </w:p>
    <w:p w14:paraId="07821903">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2312" w:hAnsi="方正仿宋_GB2312" w:eastAsia="方正仿宋_GB2312" w:cs="方正仿宋_GB2312"/>
          <w:color w:val="auto"/>
          <w:sz w:val="21"/>
          <w:szCs w:val="21"/>
          <w:shd w:val="clear" w:color="auto" w:fill="FFFFFF"/>
        </w:rPr>
      </w:pPr>
      <w:r>
        <w:rPr>
          <w:rFonts w:hint="eastAsia" w:ascii="方正仿宋_GB2312" w:hAnsi="方正仿宋_GB2312" w:eastAsia="方正仿宋_GB2312" w:cs="方正仿宋_GB2312"/>
          <w:color w:val="auto"/>
          <w:sz w:val="21"/>
          <w:szCs w:val="21"/>
          <w:shd w:val="clear" w:color="auto" w:fill="FFFFFF"/>
        </w:rPr>
        <w:t>即使本合同失效、终止、变更，上述保密义务不受影响，仍具有法律效力。上述义务自甲方、乙方签字、盖章之日生效，当其中一方违反约定时，另一方有权追究违约方的法律责任，并要求赔偿损失。</w:t>
      </w:r>
    </w:p>
    <w:p w14:paraId="4DA70657">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第九条  验收和交付</w:t>
      </w:r>
    </w:p>
    <w:p w14:paraId="560211F7">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w:t>
      </w:r>
      <w:r>
        <w:rPr>
          <w:rFonts w:hint="eastAsia" w:ascii="方正仿宋_GB2312" w:hAnsi="方正仿宋_GB2312" w:eastAsia="方正仿宋_GB2312" w:cs="方正仿宋_GB2312"/>
          <w:color w:val="auto"/>
          <w:sz w:val="21"/>
          <w:szCs w:val="21"/>
          <w:shd w:val="clear" w:color="auto" w:fill="FFFFFF"/>
          <w:lang w:val="en-US" w:eastAsia="zh-CN"/>
        </w:rPr>
        <w:t xml:space="preserve">乙方所供产品须适配铜川市公积金中心现有网络、安全设备，并于中标后15日内完成与现有系统的兼容性测试，测试不通过须无偿调整方案。 </w:t>
      </w:r>
    </w:p>
    <w:p w14:paraId="00003344">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（二）验收交付标准和方法：严格按照本项目磋商文件、成交供应商响应文件、已签订的合同文本及国家/行业相关标准及规范等要求标准验收。</w:t>
      </w:r>
    </w:p>
    <w:p w14:paraId="14E746C4">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三</w:t>
      </w: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rPr>
        <w:t>双方确定，乙方所完成的</w:t>
      </w:r>
      <w:r>
        <w:rPr>
          <w:rFonts w:hint="eastAsia" w:ascii="方正仿宋_GB18030" w:hAnsi="方正仿宋_GB18030" w:eastAsia="方正仿宋_GB18030" w:cs="方正仿宋_GB18030"/>
          <w:color w:val="auto"/>
          <w:sz w:val="21"/>
          <w:szCs w:val="21"/>
          <w:lang w:val="en-US" w:eastAsia="zh-CN"/>
        </w:rPr>
        <w:t>软硬件安装</w:t>
      </w:r>
      <w:r>
        <w:rPr>
          <w:rFonts w:hint="eastAsia" w:ascii="方正仿宋_GB18030" w:hAnsi="方正仿宋_GB18030" w:eastAsia="方正仿宋_GB18030" w:cs="方正仿宋_GB18030"/>
          <w:color w:val="auto"/>
          <w:sz w:val="21"/>
          <w:szCs w:val="21"/>
        </w:rPr>
        <w:t>，达到了本合</w:t>
      </w:r>
      <w:r>
        <w:rPr>
          <w:rFonts w:hint="eastAsia" w:ascii="方正仿宋_GB18030" w:hAnsi="方正仿宋_GB18030" w:eastAsia="方正仿宋_GB18030" w:cs="方正仿宋_GB18030"/>
          <w:color w:val="auto"/>
          <w:sz w:val="21"/>
          <w:szCs w:val="21"/>
        </w:rPr>
        <w:t>同规定的各项功能</w:t>
      </w:r>
      <w:r>
        <w:rPr>
          <w:rFonts w:hint="eastAsia" w:ascii="方正仿宋_GB18030" w:hAnsi="方正仿宋_GB18030" w:eastAsia="方正仿宋_GB18030" w:cs="方正仿宋_GB18030"/>
          <w:color w:val="auto"/>
          <w:sz w:val="21"/>
          <w:szCs w:val="21"/>
          <w:lang w:val="en-US" w:eastAsia="zh-CN"/>
        </w:rPr>
        <w:t>及要求</w:t>
      </w:r>
      <w:r>
        <w:rPr>
          <w:rFonts w:hint="eastAsia" w:ascii="方正仿宋_GB18030" w:hAnsi="方正仿宋_GB18030" w:eastAsia="方正仿宋_GB18030" w:cs="方正仿宋_GB18030"/>
          <w:color w:val="auto"/>
          <w:sz w:val="21"/>
          <w:szCs w:val="21"/>
        </w:rPr>
        <w:t>，按业务需求采用</w:t>
      </w:r>
      <w:r>
        <w:rPr>
          <w:rFonts w:hint="eastAsia" w:ascii="方正仿宋_GB18030" w:hAnsi="方正仿宋_GB18030" w:eastAsia="方正仿宋_GB18030" w:cs="方正仿宋_GB18030"/>
          <w:color w:val="auto"/>
          <w:sz w:val="21"/>
          <w:szCs w:val="21"/>
          <w:lang w:eastAsia="zh-CN"/>
        </w:rPr>
        <w:t>调试</w:t>
      </w:r>
      <w:r>
        <w:rPr>
          <w:rFonts w:hint="eastAsia" w:ascii="方正仿宋_GB18030" w:hAnsi="方正仿宋_GB18030" w:eastAsia="方正仿宋_GB18030" w:cs="方正仿宋_GB18030"/>
          <w:color w:val="auto"/>
          <w:sz w:val="21"/>
          <w:szCs w:val="21"/>
        </w:rPr>
        <w:t>方式验收，由双方出具项目验收报告。</w:t>
      </w:r>
    </w:p>
    <w:p w14:paraId="44904BD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（三）履约验收方案</w:t>
      </w:r>
    </w:p>
    <w:p w14:paraId="08B78BB8">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1）验收组织方式：自行验收</w:t>
      </w:r>
    </w:p>
    <w:p w14:paraId="468F73EF">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2）履约验收程序：分段/分期验收</w:t>
      </w:r>
    </w:p>
    <w:p w14:paraId="13B0E29B">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lang w:eastAsia="zh-CN"/>
        </w:rPr>
      </w:pPr>
      <w:r>
        <w:rPr>
          <w:rFonts w:hint="eastAsia" w:ascii="方正仿宋_GB18030" w:hAnsi="方正仿宋_GB18030" w:eastAsia="方正仿宋_GB18030" w:cs="方正仿宋_GB18030"/>
          <w:color w:val="auto"/>
          <w:sz w:val="21"/>
          <w:szCs w:val="21"/>
        </w:rPr>
        <w:t>7）履约验收时间：供应商提出验收申请之日起30日内组织验收</w:t>
      </w:r>
    </w:p>
    <w:p w14:paraId="33888901">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第十条  系统的升级维护和技术支持</w:t>
      </w:r>
    </w:p>
    <w:p w14:paraId="1C01F952">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（一）乙方向甲方提供本合同所建系统和接口自验收合格之日起</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年的免费维护期服务。采用分阶段投入使用或分阶段验收的，免费服务期按系统验收合格之日起计算。</w:t>
      </w:r>
    </w:p>
    <w:p w14:paraId="21F231EC">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（二）在免费服务期结束后，系统的运行维护服务费用另行协商。</w:t>
      </w:r>
    </w:p>
    <w:p w14:paraId="40AF604D">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第十一条 系统侵权处理</w:t>
      </w:r>
    </w:p>
    <w:p w14:paraId="35366F27">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乙方应当保证其交付给甲方的</w:t>
      </w:r>
      <w:r>
        <w:rPr>
          <w:rFonts w:hint="eastAsia" w:ascii="方正仿宋_GB18030" w:hAnsi="方正仿宋_GB18030" w:eastAsia="方正仿宋_GB18030" w:cs="方正仿宋_GB18030"/>
          <w:color w:val="auto"/>
          <w:sz w:val="21"/>
          <w:szCs w:val="21"/>
          <w:lang w:eastAsia="zh-CN"/>
        </w:rPr>
        <w:t>系统</w:t>
      </w:r>
      <w:r>
        <w:rPr>
          <w:rFonts w:hint="eastAsia" w:ascii="方正仿宋_GB18030" w:hAnsi="方正仿宋_GB18030" w:eastAsia="方正仿宋_GB18030" w:cs="方正仿宋_GB18030"/>
          <w:color w:val="auto"/>
          <w:sz w:val="21"/>
          <w:szCs w:val="21"/>
        </w:rPr>
        <w:t>不侵犯任何第三人的合法权益。如经人民法院或仲裁机构的生效裁判，确认乙方交付的</w:t>
      </w:r>
      <w:r>
        <w:rPr>
          <w:rFonts w:hint="eastAsia" w:ascii="方正仿宋_GB18030" w:hAnsi="方正仿宋_GB18030" w:eastAsia="方正仿宋_GB18030" w:cs="方正仿宋_GB18030"/>
          <w:color w:val="auto"/>
          <w:sz w:val="21"/>
          <w:szCs w:val="21"/>
          <w:lang w:eastAsia="zh-CN"/>
        </w:rPr>
        <w:t>系统</w:t>
      </w:r>
      <w:r>
        <w:rPr>
          <w:rFonts w:hint="eastAsia" w:ascii="方正仿宋_GB18030" w:hAnsi="方正仿宋_GB18030" w:eastAsia="方正仿宋_GB18030" w:cs="方正仿宋_GB18030"/>
          <w:color w:val="auto"/>
          <w:sz w:val="21"/>
          <w:szCs w:val="21"/>
        </w:rPr>
        <w:t>侵犯第三人权利的，乙方应退还研究开发经费及报酬。</w:t>
      </w:r>
    </w:p>
    <w:p w14:paraId="6148B24F">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lang w:val="en-US" w:eastAsia="zh-CN"/>
        </w:rPr>
        <w:t xml:space="preserve">第十二条 </w:t>
      </w:r>
      <w:r>
        <w:rPr>
          <w:rFonts w:hint="eastAsia" w:ascii="方正仿宋_GB18030" w:hAnsi="方正仿宋_GB18030" w:eastAsia="方正仿宋_GB18030" w:cs="方正仿宋_GB18030"/>
          <w:b/>
          <w:bCs/>
          <w:color w:val="auto"/>
          <w:sz w:val="21"/>
          <w:szCs w:val="21"/>
        </w:rPr>
        <w:t>运行维护管理培训</w:t>
      </w:r>
    </w:p>
    <w:p w14:paraId="12F18EF3">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双方确定，乙方应在向甲方交付</w:t>
      </w:r>
      <w:r>
        <w:rPr>
          <w:rFonts w:hint="eastAsia" w:ascii="方正仿宋_GB18030" w:hAnsi="方正仿宋_GB18030" w:eastAsia="方正仿宋_GB18030" w:cs="方正仿宋_GB18030"/>
          <w:color w:val="auto"/>
          <w:sz w:val="21"/>
          <w:szCs w:val="21"/>
          <w:lang w:eastAsia="zh-CN"/>
        </w:rPr>
        <w:t>系统</w:t>
      </w:r>
      <w:r>
        <w:rPr>
          <w:rFonts w:hint="eastAsia" w:ascii="方正仿宋_GB18030" w:hAnsi="方正仿宋_GB18030" w:eastAsia="方正仿宋_GB18030" w:cs="方正仿宋_GB18030"/>
          <w:color w:val="auto"/>
          <w:sz w:val="21"/>
          <w:szCs w:val="21"/>
        </w:rPr>
        <w:t>后，根据甲方的要求，为甲方提供2次的免费技术培训。</w:t>
      </w:r>
    </w:p>
    <w:p w14:paraId="64C8A799">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第十三条 合同履行及争议处理</w:t>
      </w:r>
    </w:p>
    <w:p w14:paraId="68328126">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（一）双方确定，出现下列情形，致使本合同的履行成为不必要或不可能的，一方可以通知另一方解除本合同；</w:t>
      </w:r>
    </w:p>
    <w:p w14:paraId="30764AE2">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1.因发生不可抗力或技术风险；</w:t>
      </w:r>
    </w:p>
    <w:p w14:paraId="1EFB4F1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2.标的技术及与之相关的技术已经公开，使本合同的履行已没意义或没有必要；</w:t>
      </w:r>
    </w:p>
    <w:p w14:paraId="7E8F1D4C">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3.因对方违约使合同不能按期完成或无法继续履行或没有必要继续履行；</w:t>
      </w:r>
    </w:p>
    <w:p w14:paraId="02C02777">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4.因甲方上级部门政策因素致使本合同无法继续履行的。</w:t>
      </w:r>
    </w:p>
    <w:p w14:paraId="13A3C10B">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（二）在执行本合同中发生与本合同有关的争议，双方应通过友好协商解决，经协商在60天内不能达成协议时，应向甲方所在地人民法院起诉。</w:t>
      </w:r>
    </w:p>
    <w:p w14:paraId="5C9E8515">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第十四条 违约处理</w:t>
      </w:r>
    </w:p>
    <w:p w14:paraId="313EA566">
      <w:pPr>
        <w:pStyle w:val="8"/>
        <w:widowControl/>
        <w:shd w:val="clear" w:color="auto"/>
        <w:spacing w:before="0" w:beforeAutospacing="0" w:after="31" w:afterLines="10" w:afterAutospacing="0" w:line="360" w:lineRule="auto"/>
        <w:ind w:firstLine="420" w:firstLineChars="200"/>
        <w:rPr>
          <w:rFonts w:hint="eastAsia" w:ascii="方正仿宋_GB2312" w:hAnsi="方正仿宋_GB2312" w:eastAsia="方正仿宋_GB2312" w:cs="方正仿宋_GB2312"/>
          <w:color w:val="auto"/>
          <w:sz w:val="21"/>
          <w:szCs w:val="21"/>
          <w:shd w:val="clear" w:color="auto" w:fill="FFFFFF"/>
        </w:rPr>
      </w:pPr>
      <w:r>
        <w:rPr>
          <w:rFonts w:hint="eastAsia" w:ascii="方正仿宋_GB18030" w:hAnsi="方正仿宋_GB18030" w:eastAsia="方正仿宋_GB18030" w:cs="方正仿宋_GB18030"/>
          <w:color w:val="auto"/>
          <w:sz w:val="21"/>
          <w:szCs w:val="21"/>
        </w:rPr>
        <w:t>（一）</w:t>
      </w:r>
      <w:r>
        <w:rPr>
          <w:rFonts w:hint="eastAsia" w:ascii="方正仿宋_GB2312" w:hAnsi="方正仿宋_GB2312" w:eastAsia="方正仿宋_GB2312" w:cs="方正仿宋_GB2312"/>
          <w:color w:val="auto"/>
          <w:sz w:val="21"/>
          <w:szCs w:val="21"/>
          <w:shd w:val="clear" w:color="auto" w:fill="FFFFFF"/>
        </w:rPr>
        <w:t>乙方须严格按照甲乙双方约定的</w:t>
      </w:r>
      <w:r>
        <w:rPr>
          <w:rFonts w:hint="eastAsia" w:ascii="方正仿宋_GB2312" w:hAnsi="方正仿宋_GB2312" w:eastAsia="方正仿宋_GB2312" w:cs="方正仿宋_GB2312"/>
          <w:color w:val="auto"/>
          <w:sz w:val="21"/>
          <w:szCs w:val="21"/>
          <w:shd w:val="clear" w:color="auto" w:fill="FFFFFF"/>
          <w:lang w:val="en-US" w:eastAsia="zh-CN"/>
        </w:rPr>
        <w:t>合同履行期限</w:t>
      </w:r>
      <w:r>
        <w:rPr>
          <w:rFonts w:hint="eastAsia" w:ascii="方正仿宋_GB2312" w:hAnsi="方正仿宋_GB2312" w:eastAsia="方正仿宋_GB2312" w:cs="方正仿宋_GB2312"/>
          <w:color w:val="auto"/>
          <w:sz w:val="21"/>
          <w:szCs w:val="21"/>
          <w:shd w:val="clear" w:color="auto" w:fill="FFFFFF"/>
        </w:rPr>
        <w:t>和技术要求交付</w:t>
      </w:r>
      <w:r>
        <w:rPr>
          <w:rFonts w:hint="eastAsia" w:ascii="方正仿宋_GB2312" w:hAnsi="方正仿宋_GB2312" w:eastAsia="方正仿宋_GB2312" w:cs="方正仿宋_GB2312"/>
          <w:color w:val="auto"/>
          <w:sz w:val="21"/>
          <w:szCs w:val="21"/>
          <w:shd w:val="clear" w:color="auto" w:fill="FFFFFF"/>
          <w:lang w:eastAsia="zh-CN"/>
        </w:rPr>
        <w:t>产品</w:t>
      </w:r>
      <w:r>
        <w:rPr>
          <w:rFonts w:hint="eastAsia" w:ascii="方正仿宋_GB2312" w:hAnsi="方正仿宋_GB2312" w:eastAsia="方正仿宋_GB2312" w:cs="方正仿宋_GB2312"/>
          <w:color w:val="auto"/>
          <w:sz w:val="21"/>
          <w:szCs w:val="21"/>
          <w:shd w:val="clear" w:color="auto" w:fill="FFFFFF"/>
        </w:rPr>
        <w:t>。乙方逾期</w:t>
      </w:r>
      <w:r>
        <w:rPr>
          <w:rFonts w:hint="eastAsia" w:ascii="方正仿宋_GB2312" w:hAnsi="方正仿宋_GB2312" w:eastAsia="方正仿宋_GB2312" w:cs="方正仿宋_GB2312"/>
          <w:color w:val="auto"/>
          <w:sz w:val="21"/>
          <w:szCs w:val="21"/>
          <w:shd w:val="clear" w:color="auto" w:fill="FFFFFF"/>
          <w:lang w:eastAsia="zh-CN"/>
        </w:rPr>
        <w:t>交付</w:t>
      </w:r>
      <w:r>
        <w:rPr>
          <w:rFonts w:hint="eastAsia" w:ascii="方正仿宋_GB2312" w:hAnsi="方正仿宋_GB2312" w:eastAsia="方正仿宋_GB2312" w:cs="方正仿宋_GB2312"/>
          <w:color w:val="auto"/>
          <w:sz w:val="21"/>
          <w:szCs w:val="21"/>
          <w:shd w:val="clear" w:color="auto" w:fill="FFFFFF"/>
        </w:rPr>
        <w:t>的，每日需按逾期</w:t>
      </w:r>
      <w:r>
        <w:rPr>
          <w:rFonts w:hint="eastAsia" w:ascii="方正仿宋_GB2312" w:hAnsi="方正仿宋_GB2312" w:eastAsia="方正仿宋_GB2312" w:cs="方正仿宋_GB2312"/>
          <w:color w:val="auto"/>
          <w:sz w:val="21"/>
          <w:szCs w:val="21"/>
          <w:shd w:val="clear" w:color="auto" w:fill="FFFFFF"/>
          <w:lang w:eastAsia="zh-CN"/>
        </w:rPr>
        <w:t>款项</w:t>
      </w:r>
      <w:r>
        <w:rPr>
          <w:rFonts w:hint="eastAsia" w:ascii="方正仿宋_GB2312" w:hAnsi="方正仿宋_GB2312" w:eastAsia="方正仿宋_GB2312" w:cs="方正仿宋_GB2312"/>
          <w:color w:val="auto"/>
          <w:sz w:val="21"/>
          <w:szCs w:val="21"/>
          <w:shd w:val="clear" w:color="auto" w:fill="FFFFFF"/>
        </w:rPr>
        <w:t>总额的千分之三向甲方支付违约金，但所支付的违约金不得超过逾期</w:t>
      </w:r>
      <w:r>
        <w:rPr>
          <w:rFonts w:hint="eastAsia" w:ascii="方正仿宋_GB2312" w:hAnsi="方正仿宋_GB2312" w:eastAsia="方正仿宋_GB2312" w:cs="方正仿宋_GB2312"/>
          <w:color w:val="auto"/>
          <w:sz w:val="21"/>
          <w:szCs w:val="21"/>
          <w:shd w:val="clear" w:color="auto" w:fill="FFFFFF"/>
          <w:lang w:eastAsia="zh-CN"/>
        </w:rPr>
        <w:t>款项</w:t>
      </w:r>
      <w:r>
        <w:rPr>
          <w:rFonts w:hint="eastAsia" w:ascii="方正仿宋_GB2312" w:hAnsi="方正仿宋_GB2312" w:eastAsia="方正仿宋_GB2312" w:cs="方正仿宋_GB2312"/>
          <w:color w:val="auto"/>
          <w:sz w:val="21"/>
          <w:szCs w:val="21"/>
          <w:shd w:val="clear" w:color="auto" w:fill="FFFFFF"/>
        </w:rPr>
        <w:t>总额的20%；逾期</w:t>
      </w:r>
      <w:r>
        <w:rPr>
          <w:rFonts w:hint="eastAsia" w:ascii="方正仿宋_GB2312" w:hAnsi="方正仿宋_GB2312" w:eastAsia="方正仿宋_GB2312" w:cs="方正仿宋_GB2312"/>
          <w:color w:val="auto"/>
          <w:sz w:val="21"/>
          <w:szCs w:val="21"/>
          <w:shd w:val="clear" w:color="auto" w:fill="FFFFFF"/>
          <w:lang w:eastAsia="zh-CN"/>
        </w:rPr>
        <w:t>交付</w:t>
      </w:r>
      <w:r>
        <w:rPr>
          <w:rFonts w:hint="eastAsia" w:ascii="方正仿宋_GB2312" w:hAnsi="方正仿宋_GB2312" w:eastAsia="方正仿宋_GB2312" w:cs="方正仿宋_GB2312"/>
          <w:color w:val="auto"/>
          <w:sz w:val="21"/>
          <w:szCs w:val="21"/>
          <w:shd w:val="clear" w:color="auto" w:fill="FFFFFF"/>
        </w:rPr>
        <w:t>超过10天的，乙方需向甲方支付本合同总价款20%的违约金。若甲方实际损失大于违约金时，乙方按甲方实际损失支付赔偿金。</w:t>
      </w:r>
    </w:p>
    <w:p w14:paraId="4B5C0F66">
      <w:pPr>
        <w:pStyle w:val="8"/>
        <w:widowControl/>
        <w:shd w:val="clear" w:color="auto"/>
        <w:spacing w:before="0" w:beforeAutospacing="0" w:after="31" w:afterLines="10" w:afterAutospacing="0" w:line="360" w:lineRule="auto"/>
        <w:ind w:firstLine="420" w:firstLineChars="200"/>
        <w:jc w:val="both"/>
        <w:rPr>
          <w:rFonts w:hint="eastAsia" w:ascii="方正仿宋_GB2312" w:hAnsi="方正仿宋_GB2312" w:eastAsia="方正仿宋_GB2312" w:cs="方正仿宋_GB2312"/>
          <w:color w:val="auto"/>
          <w:sz w:val="21"/>
          <w:szCs w:val="21"/>
          <w:shd w:val="clear" w:color="auto" w:fill="FFFFFF"/>
        </w:rPr>
      </w:pPr>
      <w:r>
        <w:rPr>
          <w:rFonts w:hint="eastAsia" w:ascii="方正仿宋_GB18030" w:hAnsi="方正仿宋_GB18030" w:eastAsia="方正仿宋_GB18030" w:cs="方正仿宋_GB18030"/>
          <w:color w:val="auto"/>
          <w:sz w:val="21"/>
          <w:szCs w:val="21"/>
        </w:rPr>
        <w:t>（二）</w:t>
      </w:r>
      <w:r>
        <w:rPr>
          <w:rFonts w:hint="eastAsia" w:ascii="方正仿宋_GB2312" w:hAnsi="方正仿宋_GB2312" w:eastAsia="方正仿宋_GB2312" w:cs="方正仿宋_GB2312"/>
          <w:color w:val="auto"/>
          <w:sz w:val="21"/>
          <w:szCs w:val="21"/>
          <w:shd w:val="clear" w:color="auto" w:fill="FFFFFF"/>
        </w:rPr>
        <w:t>甲方需按本合同约定及时结算</w:t>
      </w:r>
      <w:r>
        <w:rPr>
          <w:rFonts w:hint="eastAsia" w:ascii="方正仿宋_GB2312" w:hAnsi="方正仿宋_GB2312" w:eastAsia="方正仿宋_GB2312" w:cs="方正仿宋_GB2312"/>
          <w:color w:val="auto"/>
          <w:sz w:val="21"/>
          <w:szCs w:val="21"/>
          <w:shd w:val="clear" w:color="auto" w:fill="FFFFFF"/>
          <w:lang w:eastAsia="zh-CN"/>
        </w:rPr>
        <w:t>款项</w:t>
      </w:r>
      <w:r>
        <w:rPr>
          <w:rFonts w:hint="eastAsia" w:ascii="方正仿宋_GB2312" w:hAnsi="方正仿宋_GB2312" w:eastAsia="方正仿宋_GB2312" w:cs="方正仿宋_GB2312"/>
          <w:color w:val="auto"/>
          <w:sz w:val="21"/>
          <w:szCs w:val="21"/>
          <w:shd w:val="clear" w:color="auto" w:fill="FFFFFF"/>
        </w:rPr>
        <w:t>，甲方逾期支付</w:t>
      </w:r>
      <w:r>
        <w:rPr>
          <w:rFonts w:hint="eastAsia" w:ascii="方正仿宋_GB2312" w:hAnsi="方正仿宋_GB2312" w:eastAsia="方正仿宋_GB2312" w:cs="方正仿宋_GB2312"/>
          <w:color w:val="auto"/>
          <w:sz w:val="21"/>
          <w:szCs w:val="21"/>
          <w:shd w:val="clear" w:color="auto" w:fill="FFFFFF"/>
          <w:lang w:eastAsia="zh-CN"/>
        </w:rPr>
        <w:t>款项</w:t>
      </w:r>
      <w:r>
        <w:rPr>
          <w:rFonts w:hint="eastAsia" w:ascii="方正仿宋_GB2312" w:hAnsi="方正仿宋_GB2312" w:eastAsia="方正仿宋_GB2312" w:cs="方正仿宋_GB2312"/>
          <w:color w:val="auto"/>
          <w:sz w:val="21"/>
          <w:szCs w:val="21"/>
          <w:shd w:val="clear" w:color="auto" w:fill="FFFFFF"/>
        </w:rPr>
        <w:t>的，每日需按逾期支付款项金额的千分之三向乙方支付违约金，但所支付的违约金不得超过逾期支付的款项金额的20%；逾期支付超过30天的，甲方需向乙方支付本合同总价款20%的违约金。</w:t>
      </w:r>
    </w:p>
    <w:p w14:paraId="72E4DD9F">
      <w:pPr>
        <w:pStyle w:val="8"/>
        <w:widowControl/>
        <w:shd w:val="clear" w:color="auto"/>
        <w:spacing w:before="0" w:beforeAutospacing="0" w:after="31" w:afterLines="10" w:afterAutospacing="0" w:line="360" w:lineRule="auto"/>
        <w:ind w:firstLine="420" w:firstLineChars="200"/>
        <w:rPr>
          <w:rFonts w:hint="eastAsia" w:ascii="方正仿宋_GB2312" w:hAnsi="方正仿宋_GB2312" w:eastAsia="方正仿宋_GB2312" w:cs="方正仿宋_GB2312"/>
          <w:color w:val="auto"/>
          <w:sz w:val="21"/>
          <w:szCs w:val="21"/>
          <w:shd w:val="clear" w:color="auto" w:fill="FFFFFF"/>
        </w:rPr>
      </w:pPr>
      <w:r>
        <w:rPr>
          <w:rFonts w:hint="eastAsia" w:ascii="方正仿宋_GB18030" w:hAnsi="方正仿宋_GB18030" w:eastAsia="方正仿宋_GB18030" w:cs="方正仿宋_GB18030"/>
          <w:color w:val="auto"/>
          <w:sz w:val="21"/>
          <w:szCs w:val="21"/>
        </w:rPr>
        <w:t>（</w:t>
      </w:r>
      <w:r>
        <w:rPr>
          <w:rFonts w:hint="eastAsia" w:ascii="方正仿宋_GB18030" w:hAnsi="方正仿宋_GB18030" w:eastAsia="方正仿宋_GB18030" w:cs="方正仿宋_GB18030"/>
          <w:color w:val="auto"/>
          <w:sz w:val="21"/>
          <w:szCs w:val="21"/>
          <w:lang w:val="en-US" w:eastAsia="zh-CN"/>
        </w:rPr>
        <w:t>三</w:t>
      </w:r>
      <w:r>
        <w:rPr>
          <w:rFonts w:hint="eastAsia" w:ascii="方正仿宋_GB18030" w:hAnsi="方正仿宋_GB18030" w:eastAsia="方正仿宋_GB18030" w:cs="方正仿宋_GB18030"/>
          <w:color w:val="auto"/>
          <w:sz w:val="21"/>
          <w:szCs w:val="21"/>
        </w:rPr>
        <w:t>）</w:t>
      </w:r>
      <w:r>
        <w:rPr>
          <w:rFonts w:hint="eastAsia" w:ascii="方正仿宋_GB2312" w:hAnsi="方正仿宋_GB2312" w:eastAsia="方正仿宋_GB2312" w:cs="方正仿宋_GB2312"/>
          <w:color w:val="auto"/>
          <w:sz w:val="21"/>
          <w:szCs w:val="21"/>
          <w:shd w:val="clear" w:color="auto" w:fill="FFFFFF"/>
        </w:rPr>
        <w:t>本合同</w:t>
      </w:r>
      <w:r>
        <w:rPr>
          <w:rFonts w:hint="eastAsia" w:ascii="方正仿宋_GB2312" w:hAnsi="方正仿宋_GB2312" w:eastAsia="方正仿宋_GB2312" w:cs="方正仿宋_GB2312"/>
          <w:color w:val="auto"/>
          <w:sz w:val="21"/>
          <w:szCs w:val="21"/>
          <w:shd w:val="clear" w:color="auto" w:fill="FFFFFF"/>
          <w:lang w:eastAsia="zh-CN"/>
        </w:rPr>
        <w:t>产品</w:t>
      </w:r>
      <w:r>
        <w:rPr>
          <w:rFonts w:hint="eastAsia" w:ascii="方正仿宋_GB2312" w:hAnsi="方正仿宋_GB2312" w:eastAsia="方正仿宋_GB2312" w:cs="方正仿宋_GB2312"/>
          <w:color w:val="auto"/>
          <w:sz w:val="21"/>
          <w:szCs w:val="21"/>
          <w:shd w:val="clear" w:color="auto" w:fill="FFFFFF"/>
        </w:rPr>
        <w:t>在安装调试过程中如出现质量问题，乙方进行更换同等规格的全新设备或全新配件，如更换后仍然有质量问题不能达到甲方要求，或者在设备质保期间不能按照约定更换故障配件的甲方有权解除合同并要求乙方退还甲方所支付的全部款项，若甲方实际损失大于本合同金额时，乙方按甲方实际损失支付赔偿金。</w:t>
      </w:r>
    </w:p>
    <w:p w14:paraId="177A85D3">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rPr>
        <w:t>第十</w:t>
      </w:r>
      <w:r>
        <w:rPr>
          <w:rFonts w:hint="eastAsia" w:ascii="方正仿宋_GB18030" w:hAnsi="方正仿宋_GB18030" w:eastAsia="方正仿宋_GB18030" w:cs="方正仿宋_GB18030"/>
          <w:b/>
          <w:bCs/>
          <w:color w:val="auto"/>
          <w:sz w:val="21"/>
          <w:szCs w:val="21"/>
          <w:lang w:val="en-US" w:eastAsia="zh-CN"/>
        </w:rPr>
        <w:t>五</w:t>
      </w:r>
      <w:r>
        <w:rPr>
          <w:rFonts w:hint="eastAsia" w:ascii="方正仿宋_GB18030" w:hAnsi="方正仿宋_GB18030" w:eastAsia="方正仿宋_GB18030" w:cs="方正仿宋_GB18030"/>
          <w:b/>
          <w:bCs/>
          <w:color w:val="auto"/>
          <w:sz w:val="21"/>
          <w:szCs w:val="21"/>
        </w:rPr>
        <w:t>条 本合同一式</w:t>
      </w:r>
      <w:r>
        <w:rPr>
          <w:rFonts w:hint="eastAsia" w:ascii="方正仿宋_GB18030" w:hAnsi="方正仿宋_GB18030" w:eastAsia="方正仿宋_GB18030" w:cs="方正仿宋_GB18030"/>
          <w:b/>
          <w:bCs/>
          <w:color w:val="auto"/>
          <w:sz w:val="21"/>
          <w:szCs w:val="21"/>
          <w:u w:val="single"/>
        </w:rPr>
        <w:t xml:space="preserve">  </w:t>
      </w:r>
      <w:r>
        <w:rPr>
          <w:rFonts w:hint="eastAsia" w:ascii="方正仿宋_GB18030" w:hAnsi="方正仿宋_GB18030" w:eastAsia="方正仿宋_GB18030" w:cs="方正仿宋_GB18030"/>
          <w:b/>
          <w:bCs/>
          <w:color w:val="auto"/>
          <w:sz w:val="21"/>
          <w:szCs w:val="21"/>
          <w:u w:val="single"/>
          <w:lang w:val="en-US" w:eastAsia="zh-CN"/>
        </w:rPr>
        <w:t xml:space="preserve"> </w:t>
      </w:r>
      <w:r>
        <w:rPr>
          <w:rFonts w:hint="eastAsia" w:ascii="方正仿宋_GB18030" w:hAnsi="方正仿宋_GB18030" w:eastAsia="方正仿宋_GB18030" w:cs="方正仿宋_GB18030"/>
          <w:b/>
          <w:bCs/>
          <w:color w:val="auto"/>
          <w:sz w:val="21"/>
          <w:szCs w:val="21"/>
          <w:u w:val="single"/>
        </w:rPr>
        <w:t xml:space="preserve"> </w:t>
      </w:r>
      <w:r>
        <w:rPr>
          <w:rFonts w:hint="eastAsia" w:ascii="方正仿宋_GB18030" w:hAnsi="方正仿宋_GB18030" w:eastAsia="方正仿宋_GB18030" w:cs="方正仿宋_GB18030"/>
          <w:b/>
          <w:bCs/>
          <w:color w:val="auto"/>
          <w:sz w:val="21"/>
          <w:szCs w:val="21"/>
        </w:rPr>
        <w:t>份，甲方</w:t>
      </w:r>
      <w:r>
        <w:rPr>
          <w:rFonts w:hint="eastAsia" w:ascii="方正仿宋_GB18030" w:hAnsi="方正仿宋_GB18030" w:eastAsia="方正仿宋_GB18030" w:cs="方正仿宋_GB18030"/>
          <w:b/>
          <w:bCs/>
          <w:color w:val="auto"/>
          <w:sz w:val="21"/>
          <w:szCs w:val="21"/>
          <w:u w:val="single"/>
          <w:lang w:val="en-US" w:eastAsia="zh-CN"/>
        </w:rPr>
        <w:t xml:space="preserve">   </w:t>
      </w:r>
      <w:r>
        <w:rPr>
          <w:rFonts w:hint="eastAsia" w:ascii="方正仿宋_GB18030" w:hAnsi="方正仿宋_GB18030" w:eastAsia="方正仿宋_GB18030" w:cs="方正仿宋_GB18030"/>
          <w:b/>
          <w:bCs/>
          <w:color w:val="auto"/>
          <w:sz w:val="21"/>
          <w:szCs w:val="21"/>
        </w:rPr>
        <w:t>份，乙方</w:t>
      </w:r>
      <w:r>
        <w:rPr>
          <w:rFonts w:hint="eastAsia" w:ascii="方正仿宋_GB18030" w:hAnsi="方正仿宋_GB18030" w:eastAsia="方正仿宋_GB18030" w:cs="方正仿宋_GB18030"/>
          <w:b/>
          <w:bCs/>
          <w:color w:val="auto"/>
          <w:sz w:val="21"/>
          <w:szCs w:val="21"/>
          <w:u w:val="single"/>
          <w:lang w:val="en-US" w:eastAsia="zh-CN"/>
        </w:rPr>
        <w:t xml:space="preserve">    </w:t>
      </w:r>
      <w:r>
        <w:rPr>
          <w:rFonts w:hint="eastAsia" w:ascii="方正仿宋_GB18030" w:hAnsi="方正仿宋_GB18030" w:eastAsia="方正仿宋_GB18030" w:cs="方正仿宋_GB18030"/>
          <w:b/>
          <w:bCs/>
          <w:color w:val="auto"/>
          <w:sz w:val="21"/>
          <w:szCs w:val="21"/>
        </w:rPr>
        <w:t>份，具有同等法律效力。</w:t>
      </w:r>
    </w:p>
    <w:p w14:paraId="3A17A7B2">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rPr>
        <w:t>第十</w:t>
      </w:r>
      <w:r>
        <w:rPr>
          <w:rFonts w:hint="eastAsia" w:ascii="方正仿宋_GB18030" w:hAnsi="方正仿宋_GB18030" w:eastAsia="方正仿宋_GB18030" w:cs="方正仿宋_GB18030"/>
          <w:b/>
          <w:bCs/>
          <w:color w:val="auto"/>
          <w:sz w:val="21"/>
          <w:szCs w:val="21"/>
          <w:lang w:val="en-US" w:eastAsia="zh-CN"/>
        </w:rPr>
        <w:t>六</w:t>
      </w:r>
      <w:r>
        <w:rPr>
          <w:rFonts w:hint="eastAsia" w:ascii="方正仿宋_GB18030" w:hAnsi="方正仿宋_GB18030" w:eastAsia="方正仿宋_GB18030" w:cs="方正仿宋_GB18030"/>
          <w:b/>
          <w:bCs/>
          <w:color w:val="auto"/>
          <w:sz w:val="21"/>
          <w:szCs w:val="21"/>
        </w:rPr>
        <w:t>条 下列文件是构成本合同不可分割的部分：</w:t>
      </w:r>
    </w:p>
    <w:p w14:paraId="4B3521B8">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(一)成交通知书；</w:t>
      </w:r>
    </w:p>
    <w:p w14:paraId="098F267B">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(二)采购文件；</w:t>
      </w:r>
    </w:p>
    <w:p w14:paraId="32B64415">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(三)响应文件；</w:t>
      </w:r>
    </w:p>
    <w:p w14:paraId="4640B441">
      <w:pPr>
        <w:keepNext w:val="0"/>
        <w:keepLines w:val="0"/>
        <w:pageBreakBefore w:val="0"/>
        <w:kinsoku/>
        <w:wordWrap/>
        <w:overflowPunct/>
        <w:topLinePunct w:val="0"/>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第十</w:t>
      </w:r>
      <w:r>
        <w:rPr>
          <w:rFonts w:hint="eastAsia" w:ascii="方正仿宋_GB18030" w:hAnsi="方正仿宋_GB18030" w:eastAsia="方正仿宋_GB18030" w:cs="方正仿宋_GB18030"/>
          <w:color w:val="auto"/>
          <w:sz w:val="21"/>
          <w:szCs w:val="21"/>
          <w:lang w:val="en-US" w:eastAsia="zh-CN"/>
        </w:rPr>
        <w:t>七</w:t>
      </w:r>
      <w:r>
        <w:rPr>
          <w:rFonts w:hint="eastAsia" w:ascii="方正仿宋_GB18030" w:hAnsi="方正仿宋_GB18030" w:eastAsia="方正仿宋_GB18030" w:cs="方正仿宋_GB18030"/>
          <w:color w:val="auto"/>
          <w:sz w:val="21"/>
          <w:szCs w:val="21"/>
        </w:rPr>
        <w:t>条 本合同经甲乙双方签字盖章后生效。</w:t>
      </w:r>
    </w:p>
    <w:p w14:paraId="49CD8AA8">
      <w:pPr>
        <w:bidi w:val="0"/>
        <w:rPr>
          <w:rFonts w:hint="eastAsia"/>
          <w:color w:val="auto"/>
        </w:rPr>
      </w:pPr>
    </w:p>
    <w:tbl>
      <w:tblPr>
        <w:tblStyle w:val="9"/>
        <w:tblW w:w="896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413"/>
        <w:gridCol w:w="4555"/>
      </w:tblGrid>
      <w:tr w14:paraId="542DD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noWrap w:val="0"/>
            <w:vAlign w:val="center"/>
          </w:tcPr>
          <w:p w14:paraId="49C82281">
            <w:pPr>
              <w:pStyle w:val="11"/>
              <w:keepNext w:val="0"/>
              <w:keepLines w:val="0"/>
              <w:pageBreakBefore w:val="0"/>
              <w:widowControl w:val="0"/>
              <w:tabs>
                <w:tab w:val="left" w:pos="709"/>
              </w:tabs>
              <w:kinsoku/>
              <w:wordWrap/>
              <w:overflowPunct/>
              <w:topLinePunct w:val="0"/>
              <w:bidi w:val="0"/>
              <w:snapToGrid/>
              <w:spacing w:line="460" w:lineRule="exact"/>
              <w:ind w:left="105" w:leftChars="50" w:firstLine="420" w:firstLineChars="200"/>
              <w:rPr>
                <w:rFonts w:hint="eastAsia" w:ascii="方正仿宋_GB18030" w:hAnsi="方正仿宋_GB18030" w:eastAsia="方正仿宋_GB18030" w:cs="方正仿宋_GB18030"/>
                <w:color w:val="auto"/>
                <w:kern w:val="0"/>
                <w:sz w:val="21"/>
                <w:szCs w:val="21"/>
                <w:lang w:eastAsia="zh-CN"/>
              </w:rPr>
            </w:pPr>
            <w:r>
              <w:rPr>
                <w:rFonts w:hint="eastAsia" w:ascii="方正仿宋_GB18030" w:hAnsi="方正仿宋_GB18030" w:eastAsia="方正仿宋_GB18030" w:cs="方正仿宋_GB18030"/>
                <w:color w:val="auto"/>
                <w:sz w:val="21"/>
                <w:szCs w:val="21"/>
              </w:rPr>
              <w:br w:type="page"/>
            </w:r>
            <w:r>
              <w:rPr>
                <w:rFonts w:hint="eastAsia" w:ascii="方正仿宋_GB18030" w:hAnsi="方正仿宋_GB18030" w:eastAsia="方正仿宋_GB18030" w:cs="方正仿宋_GB18030"/>
                <w:color w:val="auto"/>
                <w:kern w:val="0"/>
                <w:sz w:val="21"/>
                <w:szCs w:val="21"/>
              </w:rPr>
              <w:t>甲方：</w:t>
            </w:r>
            <w:r>
              <w:rPr>
                <w:rFonts w:hint="eastAsia" w:ascii="方正仿宋_GB18030" w:hAnsi="方正仿宋_GB18030" w:eastAsia="方正仿宋_GB18030" w:cs="方正仿宋_GB18030"/>
                <w:color w:val="auto"/>
                <w:kern w:val="0"/>
                <w:sz w:val="21"/>
                <w:szCs w:val="21"/>
                <w:lang w:eastAsia="zh-CN"/>
              </w:rPr>
              <w:t>铜川市住房公积金管理中心</w:t>
            </w:r>
          </w:p>
        </w:tc>
        <w:tc>
          <w:tcPr>
            <w:tcW w:w="4555" w:type="dxa"/>
            <w:noWrap w:val="0"/>
            <w:vAlign w:val="center"/>
          </w:tcPr>
          <w:p w14:paraId="206803BC">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乙方：</w:t>
            </w:r>
          </w:p>
        </w:tc>
      </w:tr>
      <w:tr w14:paraId="31B72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44" w:hRule="atLeast"/>
          <w:jc w:val="center"/>
        </w:trPr>
        <w:tc>
          <w:tcPr>
            <w:tcW w:w="4413" w:type="dxa"/>
            <w:noWrap w:val="0"/>
            <w:vAlign w:val="center"/>
          </w:tcPr>
          <w:p w14:paraId="698B3BF1">
            <w:pPr>
              <w:keepNext w:val="0"/>
              <w:keepLines w:val="0"/>
              <w:pageBreakBefore w:val="0"/>
              <w:widowControl/>
              <w:kinsoku/>
              <w:wordWrap/>
              <w:overflowPunct/>
              <w:topLinePunct w:val="0"/>
              <w:bidi w:val="0"/>
              <w:snapToGrid/>
              <w:spacing w:line="460" w:lineRule="exact"/>
              <w:jc w:val="center"/>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（盖章）</w:t>
            </w:r>
          </w:p>
        </w:tc>
        <w:tc>
          <w:tcPr>
            <w:tcW w:w="4555" w:type="dxa"/>
            <w:noWrap w:val="0"/>
            <w:vAlign w:val="center"/>
          </w:tcPr>
          <w:p w14:paraId="031789E3">
            <w:pPr>
              <w:keepNext w:val="0"/>
              <w:keepLines w:val="0"/>
              <w:pageBreakBefore w:val="0"/>
              <w:widowControl/>
              <w:kinsoku/>
              <w:wordWrap/>
              <w:overflowPunct/>
              <w:topLinePunct w:val="0"/>
              <w:bidi w:val="0"/>
              <w:snapToGrid/>
              <w:spacing w:line="460" w:lineRule="exact"/>
              <w:jc w:val="center"/>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（盖章）</w:t>
            </w:r>
          </w:p>
        </w:tc>
      </w:tr>
      <w:tr w14:paraId="28737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noWrap w:val="0"/>
            <w:vAlign w:val="center"/>
          </w:tcPr>
          <w:p w14:paraId="59C2C9EB">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地址：</w:t>
            </w:r>
          </w:p>
        </w:tc>
        <w:tc>
          <w:tcPr>
            <w:tcW w:w="4555" w:type="dxa"/>
            <w:noWrap w:val="0"/>
            <w:vAlign w:val="center"/>
          </w:tcPr>
          <w:p w14:paraId="747E0F2C">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地址：</w:t>
            </w:r>
          </w:p>
        </w:tc>
      </w:tr>
      <w:tr w14:paraId="417799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noWrap w:val="0"/>
            <w:vAlign w:val="center"/>
          </w:tcPr>
          <w:p w14:paraId="1DC1DDF2">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邮编：</w:t>
            </w:r>
          </w:p>
        </w:tc>
        <w:tc>
          <w:tcPr>
            <w:tcW w:w="4555" w:type="dxa"/>
            <w:noWrap w:val="0"/>
            <w:vAlign w:val="center"/>
          </w:tcPr>
          <w:p w14:paraId="008E2817">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邮编：</w:t>
            </w:r>
          </w:p>
        </w:tc>
      </w:tr>
      <w:tr w14:paraId="428EB3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jc w:val="center"/>
        </w:trPr>
        <w:tc>
          <w:tcPr>
            <w:tcW w:w="4413" w:type="dxa"/>
            <w:vMerge w:val="restart"/>
            <w:noWrap w:val="0"/>
            <w:vAlign w:val="center"/>
          </w:tcPr>
          <w:p w14:paraId="76ACC139">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全权代表：（签字）</w:t>
            </w:r>
          </w:p>
        </w:tc>
        <w:tc>
          <w:tcPr>
            <w:tcW w:w="4555" w:type="dxa"/>
            <w:noWrap w:val="0"/>
            <w:vAlign w:val="center"/>
          </w:tcPr>
          <w:p w14:paraId="15A0703A">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法定代表人：</w:t>
            </w:r>
          </w:p>
        </w:tc>
      </w:tr>
      <w:tr w14:paraId="05BE68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jc w:val="center"/>
        </w:trPr>
        <w:tc>
          <w:tcPr>
            <w:tcW w:w="4413" w:type="dxa"/>
            <w:vMerge w:val="continue"/>
            <w:noWrap w:val="0"/>
            <w:vAlign w:val="center"/>
          </w:tcPr>
          <w:p w14:paraId="317AC2D5">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p>
        </w:tc>
        <w:tc>
          <w:tcPr>
            <w:tcW w:w="4555" w:type="dxa"/>
            <w:noWrap w:val="0"/>
            <w:vAlign w:val="center"/>
          </w:tcPr>
          <w:p w14:paraId="1E88AEB7">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被授权代表：（签字）</w:t>
            </w:r>
          </w:p>
        </w:tc>
      </w:tr>
      <w:tr w14:paraId="175FD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noWrap w:val="0"/>
            <w:vAlign w:val="center"/>
          </w:tcPr>
          <w:p w14:paraId="68394F08">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电话：</w:t>
            </w:r>
          </w:p>
        </w:tc>
        <w:tc>
          <w:tcPr>
            <w:tcW w:w="4555" w:type="dxa"/>
            <w:noWrap w:val="0"/>
            <w:vAlign w:val="center"/>
          </w:tcPr>
          <w:p w14:paraId="499C73BC">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电话：</w:t>
            </w:r>
          </w:p>
        </w:tc>
      </w:tr>
      <w:tr w14:paraId="1B2AF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vMerge w:val="restart"/>
            <w:noWrap w:val="0"/>
            <w:vAlign w:val="center"/>
          </w:tcPr>
          <w:p w14:paraId="7836A8F1">
            <w:pPr>
              <w:keepNext w:val="0"/>
              <w:keepLines w:val="0"/>
              <w:pageBreakBefore w:val="0"/>
              <w:widowControl/>
              <w:kinsoku/>
              <w:wordWrap/>
              <w:overflowPunct/>
              <w:topLinePunct w:val="0"/>
              <w:bidi w:val="0"/>
              <w:snapToGrid/>
              <w:spacing w:line="460" w:lineRule="exact"/>
              <w:jc w:val="both"/>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传真：</w:t>
            </w:r>
          </w:p>
        </w:tc>
        <w:tc>
          <w:tcPr>
            <w:tcW w:w="4555" w:type="dxa"/>
            <w:noWrap w:val="0"/>
            <w:vAlign w:val="center"/>
          </w:tcPr>
          <w:p w14:paraId="06CA7C3E">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传真：</w:t>
            </w:r>
          </w:p>
        </w:tc>
      </w:tr>
      <w:tr w14:paraId="52A62F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vMerge w:val="continue"/>
            <w:noWrap w:val="0"/>
            <w:vAlign w:val="center"/>
          </w:tcPr>
          <w:p w14:paraId="521CAB89">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p>
        </w:tc>
        <w:tc>
          <w:tcPr>
            <w:tcW w:w="4555" w:type="dxa"/>
            <w:noWrap w:val="0"/>
            <w:vAlign w:val="center"/>
          </w:tcPr>
          <w:p w14:paraId="3F049146">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开户银行：</w:t>
            </w:r>
          </w:p>
        </w:tc>
      </w:tr>
      <w:tr w14:paraId="3B3174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vMerge w:val="continue"/>
            <w:noWrap w:val="0"/>
            <w:vAlign w:val="center"/>
          </w:tcPr>
          <w:p w14:paraId="008CA5E6">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p>
        </w:tc>
        <w:tc>
          <w:tcPr>
            <w:tcW w:w="4555" w:type="dxa"/>
            <w:noWrap w:val="0"/>
            <w:vAlign w:val="center"/>
          </w:tcPr>
          <w:p w14:paraId="2F31C266">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账号:</w:t>
            </w:r>
          </w:p>
        </w:tc>
      </w:tr>
      <w:tr w14:paraId="4148C8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7" w:hRule="atLeast"/>
          <w:jc w:val="center"/>
        </w:trPr>
        <w:tc>
          <w:tcPr>
            <w:tcW w:w="4413" w:type="dxa"/>
            <w:noWrap w:val="0"/>
            <w:vAlign w:val="center"/>
          </w:tcPr>
          <w:p w14:paraId="664A65C4">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日期：     年   月   日</w:t>
            </w:r>
          </w:p>
        </w:tc>
        <w:tc>
          <w:tcPr>
            <w:tcW w:w="4555" w:type="dxa"/>
            <w:noWrap w:val="0"/>
            <w:vAlign w:val="center"/>
          </w:tcPr>
          <w:p w14:paraId="2FEDB05A">
            <w:pPr>
              <w:keepNext w:val="0"/>
              <w:keepLines w:val="0"/>
              <w:pageBreakBefore w:val="0"/>
              <w:widowControl/>
              <w:kinsoku/>
              <w:wordWrap/>
              <w:overflowPunct/>
              <w:topLinePunct w:val="0"/>
              <w:bidi w:val="0"/>
              <w:snapToGrid/>
              <w:spacing w:line="460" w:lineRule="exact"/>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日期：     年   月   日</w:t>
            </w:r>
          </w:p>
        </w:tc>
      </w:tr>
    </w:tbl>
    <w:p w14:paraId="5C3940A3">
      <w:pPr>
        <w:keepNext w:val="0"/>
        <w:keepLines w:val="0"/>
        <w:pageBreakBefore w:val="0"/>
        <w:kinsoku/>
        <w:wordWrap/>
        <w:overflowPunct/>
        <w:topLinePunct w:val="0"/>
        <w:bidi w:val="0"/>
        <w:snapToGrid/>
        <w:spacing w:line="460" w:lineRule="exact"/>
        <w:rPr>
          <w:rFonts w:hint="eastAsia" w:ascii="方正仿宋_GB18030" w:hAnsi="方正仿宋_GB18030" w:eastAsia="方正仿宋_GB18030" w:cs="方正仿宋_GB18030"/>
          <w:color w:val="auto"/>
        </w:rPr>
      </w:pPr>
    </w:p>
    <w:sectPr>
      <w:pgSz w:w="11906" w:h="16838"/>
      <w:pgMar w:top="1440" w:right="1286" w:bottom="1440" w:left="16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B8D07BF-C3F7-48D3-B9EE-1FF90F4EABCE}"/>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18030">
    <w:panose1 w:val="02000000000000000000"/>
    <w:charset w:val="86"/>
    <w:family w:val="auto"/>
    <w:pitch w:val="default"/>
    <w:sig w:usb0="00000001" w:usb1="08000000" w:usb2="00000000" w:usb3="00000000" w:csb0="00040000" w:csb1="00000000"/>
    <w:embedRegular r:id="rId2" w:fontKey="{DA94C483-5367-405F-86B8-75915AD24C71}"/>
  </w:font>
  <w:font w:name="方正仿宋_GB2312">
    <w:panose1 w:val="02000000000000000000"/>
    <w:charset w:val="86"/>
    <w:family w:val="auto"/>
    <w:pitch w:val="default"/>
    <w:sig w:usb0="A00002BF" w:usb1="184F6CFA" w:usb2="00000012" w:usb3="00000000" w:csb0="00040001" w:csb1="00000000"/>
    <w:embedRegular r:id="rId3" w:fontKey="{C1102E34-79DE-46C6-9A8B-54CBAEEFFE6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639C6298"/>
    <w:rsid w:val="08122176"/>
    <w:rsid w:val="084762C4"/>
    <w:rsid w:val="09B2776D"/>
    <w:rsid w:val="0CB8153E"/>
    <w:rsid w:val="0F462077"/>
    <w:rsid w:val="13414AF2"/>
    <w:rsid w:val="16895CFA"/>
    <w:rsid w:val="1AC60FA3"/>
    <w:rsid w:val="1FBE07C2"/>
    <w:rsid w:val="2350145F"/>
    <w:rsid w:val="27027B2E"/>
    <w:rsid w:val="27C941A8"/>
    <w:rsid w:val="34B742B5"/>
    <w:rsid w:val="35E00B47"/>
    <w:rsid w:val="38F82B3F"/>
    <w:rsid w:val="393712EB"/>
    <w:rsid w:val="39685B45"/>
    <w:rsid w:val="3B7844CB"/>
    <w:rsid w:val="3F2175BC"/>
    <w:rsid w:val="40B01F51"/>
    <w:rsid w:val="48500718"/>
    <w:rsid w:val="4B5A6B74"/>
    <w:rsid w:val="4F2F6737"/>
    <w:rsid w:val="4FBC621D"/>
    <w:rsid w:val="50182719"/>
    <w:rsid w:val="58122FAA"/>
    <w:rsid w:val="598B6C60"/>
    <w:rsid w:val="5B2F3652"/>
    <w:rsid w:val="5E4A0E97"/>
    <w:rsid w:val="61F822FC"/>
    <w:rsid w:val="632E0D88"/>
    <w:rsid w:val="639C6298"/>
    <w:rsid w:val="73243F55"/>
    <w:rsid w:val="76EC6B38"/>
    <w:rsid w:val="792C6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宋体"/>
      <w:b/>
      <w:kern w:val="44"/>
      <w:sz w:val="36"/>
    </w:rPr>
  </w:style>
  <w:style w:type="paragraph" w:styleId="3">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qFormat/>
    <w:uiPriority w:val="39"/>
    <w:pPr>
      <w:ind w:left="630"/>
      <w:jc w:val="left"/>
    </w:pPr>
    <w:rPr>
      <w:sz w:val="18"/>
    </w:rPr>
  </w:style>
  <w:style w:type="paragraph" w:styleId="6">
    <w:name w:val="Body Text"/>
    <w:basedOn w:val="1"/>
    <w:next w:val="1"/>
    <w:qFormat/>
    <w:uiPriority w:val="0"/>
    <w:rPr>
      <w:color w:val="993300"/>
      <w:sz w:val="24"/>
    </w:rPr>
  </w:style>
  <w:style w:type="paragraph" w:styleId="7">
    <w:name w:val="List 2"/>
    <w:basedOn w:val="1"/>
    <w:qFormat/>
    <w:uiPriority w:val="0"/>
    <w:pPr>
      <w:ind w:left="100" w:leftChars="200" w:hanging="200" w:hangingChars="200"/>
    </w:pPr>
  </w:style>
  <w:style w:type="paragraph" w:styleId="8">
    <w:name w:val="Normal (Web)"/>
    <w:basedOn w:val="1"/>
    <w:qFormat/>
    <w:uiPriority w:val="0"/>
    <w:pPr>
      <w:spacing w:before="100" w:beforeAutospacing="1" w:after="100" w:afterAutospacing="1"/>
      <w:jc w:val="left"/>
    </w:pPr>
    <w:rPr>
      <w:kern w:val="0"/>
      <w:sz w:val="24"/>
    </w:rPr>
  </w:style>
  <w:style w:type="paragraph" w:customStyle="1" w:styleId="11">
    <w:name w:val="p0"/>
    <w:basedOn w:val="1"/>
    <w:qFormat/>
    <w:uiPriority w:val="0"/>
    <w:pPr>
      <w:widowControl/>
    </w:pPr>
    <w:rPr>
      <w:rFonts w:hint="eastAsia"/>
    </w:rPr>
  </w:style>
  <w:style w:type="paragraph" w:customStyle="1" w:styleId="12">
    <w:name w:val="标准正文格式"/>
    <w:basedOn w:val="1"/>
    <w:qFormat/>
    <w:uiPriority w:val="0"/>
    <w:pPr>
      <w:widowControl/>
      <w:adjustRightInd w:val="0"/>
      <w:spacing w:before="60" w:after="120" w:line="360" w:lineRule="auto"/>
      <w:ind w:firstLine="480" w:firstLineChars="200"/>
      <w:textAlignment w:val="baseline"/>
    </w:pPr>
    <w:rPr>
      <w:rFonts w:ascii="宋体" w:eastAsia="仿宋_GB2312"/>
      <w:color w:val="000000"/>
      <w:kern w:val="0"/>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4180</Words>
  <Characters>4236</Characters>
  <Lines>0</Lines>
  <Paragraphs>0</Paragraphs>
  <TotalTime>1</TotalTime>
  <ScaleCrop>false</ScaleCrop>
  <LinksUpToDate>false</LinksUpToDate>
  <CharactersWithSpaces>4588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2024-05-23T04:20:00Z</dcterms:created>
  <dc:creator>朱娟</dc:creator>
  <cp:lastModifiedBy>朱娟</cp:lastModifiedBy>
  <dcterms:modified xsi:type="dcterms:W3CDTF">2025-08-26T03:03:33Z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F23220DD997D4256B1FEFCBB80C59544_13</vt:lpwstr>
  </property>
  <property fmtid="{D5CDD505-2E9C-101B-9397-08002B2CF9AE}" pid="4" name="KSOTemplateDocerSaveRecord">
    <vt:lpwstr>eyJoZGlkIjoiMmQxOTU3NzVlZWIwMjUxZDI1ODUwYWNiYjFjY2VmNGIiLCJ1c2VySWQiOiIyMDIwODMyODIifQ==</vt:lpwstr>
  </property>
</Properties>
</file>