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zh-CN"/>
        </w:rPr>
        <w:t>合同主要条款及格式</w:t>
      </w:r>
    </w:p>
    <w:p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（此合同样本仅供参考，合同具体细则以双方协定为准）</w:t>
      </w:r>
    </w:p>
    <w:p>
      <w:pPr>
        <w:spacing w:line="259" w:lineRule="auto"/>
        <w:jc w:val="center"/>
        <w:rPr>
          <w:rFonts w:ascii="Arial"/>
          <w:b/>
          <w:bCs/>
        </w:rPr>
      </w:pPr>
    </w:p>
    <w:p>
      <w:pPr>
        <w:pStyle w:val="2"/>
        <w:spacing w:before="46" w:line="219" w:lineRule="auto"/>
        <w:ind w:left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34"/>
          <w:sz w:val="23"/>
          <w:szCs w:val="23"/>
        </w:rPr>
        <w:t xml:space="preserve">甲方(采购人名称全称): </w:t>
      </w:r>
      <w:r>
        <w:rPr>
          <w:rFonts w:hint="eastAsia" w:ascii="仿宋" w:hAnsi="仿宋" w:eastAsia="仿宋" w:cs="仿宋"/>
          <w:spacing w:val="34"/>
          <w:sz w:val="23"/>
          <w:szCs w:val="23"/>
          <w:u w:val="single"/>
        </w:rPr>
        <w:t xml:space="preserve">     </w:t>
      </w:r>
      <w:r>
        <w:rPr>
          <w:rFonts w:hint="eastAsia" w:ascii="仿宋" w:hAnsi="仿宋" w:eastAsia="仿宋" w:cs="仿宋"/>
          <w:sz w:val="23"/>
          <w:szCs w:val="23"/>
          <w:u w:val="single"/>
        </w:rPr>
        <w:t xml:space="preserve">                  </w:t>
      </w:r>
    </w:p>
    <w:p>
      <w:pPr>
        <w:pStyle w:val="2"/>
        <w:spacing w:before="196" w:line="219" w:lineRule="auto"/>
        <w:ind w:left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35"/>
          <w:sz w:val="23"/>
          <w:szCs w:val="23"/>
        </w:rPr>
        <w:t>乙方(供应商名称全称):</w:t>
      </w:r>
      <w:r>
        <w:rPr>
          <w:rFonts w:hint="eastAsia" w:ascii="仿宋" w:hAnsi="仿宋" w:eastAsia="仿宋" w:cs="仿宋"/>
          <w:spacing w:val="-88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89"/>
          <w:sz w:val="23"/>
          <w:szCs w:val="23"/>
          <w:u w:val="single"/>
        </w:rPr>
        <w:t xml:space="preserve"> </w:t>
      </w:r>
      <w:r>
        <w:rPr>
          <w:rFonts w:hint="eastAsia" w:ascii="仿宋" w:hAnsi="仿宋" w:eastAsia="仿宋" w:cs="仿宋"/>
          <w:spacing w:val="35"/>
          <w:sz w:val="23"/>
          <w:szCs w:val="23"/>
          <w:u w:val="single"/>
        </w:rPr>
        <w:t xml:space="preserve">   </w:t>
      </w:r>
      <w:r>
        <w:rPr>
          <w:rFonts w:hint="eastAsia" w:ascii="仿宋" w:hAnsi="仿宋" w:eastAsia="仿宋" w:cs="仿宋"/>
          <w:sz w:val="23"/>
          <w:szCs w:val="23"/>
          <w:u w:val="single"/>
        </w:rPr>
        <w:t xml:space="preserve">                      </w:t>
      </w:r>
    </w:p>
    <w:p>
      <w:pPr>
        <w:pStyle w:val="2"/>
        <w:spacing w:before="167" w:line="389" w:lineRule="auto"/>
        <w:ind w:firstLine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1"/>
          <w:sz w:val="23"/>
          <w:szCs w:val="23"/>
        </w:rPr>
        <w:t>甲乙双方就甲方所需货物，按照政府采购程序组织</w:t>
      </w:r>
      <w:r>
        <w:rPr>
          <w:rFonts w:hint="eastAsia" w:ascii="仿宋" w:hAnsi="仿宋" w:eastAsia="仿宋" w:cs="仿宋"/>
          <w:spacing w:val="11"/>
          <w:sz w:val="23"/>
          <w:szCs w:val="23"/>
          <w:lang w:val="en-US" w:eastAsia="zh-CN"/>
        </w:rPr>
        <w:t>公开招标</w:t>
      </w:r>
      <w:r>
        <w:rPr>
          <w:rFonts w:hint="eastAsia" w:ascii="仿宋" w:hAnsi="仿宋" w:eastAsia="仿宋" w:cs="仿宋"/>
          <w:spacing w:val="11"/>
          <w:sz w:val="23"/>
          <w:szCs w:val="23"/>
        </w:rPr>
        <w:t>，确定乙方为</w:t>
      </w:r>
      <w:r>
        <w:rPr>
          <w:rFonts w:hint="eastAsia" w:ascii="仿宋" w:hAnsi="仿宋" w:eastAsia="仿宋" w:cs="仿宋"/>
          <w:spacing w:val="11"/>
          <w:sz w:val="23"/>
          <w:szCs w:val="23"/>
          <w:u w:val="single"/>
        </w:rPr>
        <w:t>（项目名称）</w:t>
      </w:r>
      <w:r>
        <w:rPr>
          <w:rFonts w:hint="eastAsia" w:ascii="仿宋" w:hAnsi="仿宋" w:eastAsia="仿宋" w:cs="仿宋"/>
          <w:spacing w:val="3"/>
          <w:sz w:val="23"/>
          <w:szCs w:val="23"/>
        </w:rPr>
        <w:t>(采购项目编号：</w:t>
      </w:r>
      <w:r>
        <w:rPr>
          <w:rFonts w:hint="eastAsia" w:ascii="仿宋" w:hAnsi="仿宋" w:eastAsia="仿宋" w:cs="仿宋"/>
          <w:sz w:val="23"/>
          <w:szCs w:val="23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3"/>
          <w:sz w:val="23"/>
          <w:szCs w:val="23"/>
        </w:rPr>
        <w:t>)</w:t>
      </w:r>
      <w:r>
        <w:rPr>
          <w:rFonts w:hint="eastAsia" w:ascii="仿宋" w:hAnsi="仿宋" w:eastAsia="仿宋" w:cs="仿宋"/>
          <w:spacing w:val="2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3"/>
          <w:sz w:val="23"/>
          <w:szCs w:val="23"/>
        </w:rPr>
        <w:t>成交供应商。依</w:t>
      </w:r>
      <w:r>
        <w:rPr>
          <w:rFonts w:hint="eastAsia" w:ascii="仿宋" w:hAnsi="仿宋" w:eastAsia="仿宋" w:cs="仿宋"/>
          <w:spacing w:val="2"/>
          <w:sz w:val="23"/>
          <w:szCs w:val="23"/>
        </w:rPr>
        <w:t>据《中华人民共和国政府采购法》、</w:t>
      </w:r>
      <w:r>
        <w:rPr>
          <w:rFonts w:hint="eastAsia" w:ascii="仿宋" w:hAnsi="仿宋" w:eastAsia="仿宋" w:cs="仿宋"/>
          <w:spacing w:val="5"/>
          <w:sz w:val="23"/>
          <w:szCs w:val="23"/>
        </w:rPr>
        <w:t>《中华人民共和国民法典》以及</w:t>
      </w:r>
      <w:r>
        <w:rPr>
          <w:rFonts w:hint="eastAsia" w:ascii="仿宋" w:hAnsi="仿宋" w:eastAsia="仿宋" w:cs="仿宋"/>
          <w:spacing w:val="5"/>
          <w:sz w:val="23"/>
          <w:szCs w:val="23"/>
          <w:lang w:val="en-US" w:eastAsia="zh-CN"/>
        </w:rPr>
        <w:t>招标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文件、成交通知书，经甲、乙双方协商，鉴证方确</w:t>
      </w:r>
      <w:r>
        <w:rPr>
          <w:rFonts w:hint="eastAsia" w:ascii="仿宋" w:hAnsi="仿宋" w:eastAsia="仿宋" w:cs="仿宋"/>
          <w:spacing w:val="6"/>
          <w:sz w:val="23"/>
          <w:szCs w:val="23"/>
        </w:rPr>
        <w:t>认，达成如下合同条款。</w:t>
      </w:r>
    </w:p>
    <w:p>
      <w:pPr>
        <w:pStyle w:val="2"/>
        <w:spacing w:line="219" w:lineRule="auto"/>
        <w:ind w:left="478"/>
        <w:outlineLvl w:val="3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b/>
          <w:bCs/>
          <w:spacing w:val="-6"/>
          <w:sz w:val="25"/>
          <w:szCs w:val="25"/>
        </w:rPr>
        <w:t>一、合同标的物内容</w:t>
      </w:r>
    </w:p>
    <w:p>
      <w:pPr>
        <w:spacing w:line="101" w:lineRule="exact"/>
        <w:rPr>
          <w:rFonts w:hint="eastAsia" w:ascii="仿宋" w:hAnsi="仿宋" w:eastAsia="仿宋" w:cs="仿宋"/>
        </w:rPr>
      </w:pPr>
    </w:p>
    <w:tbl>
      <w:tblPr>
        <w:tblStyle w:val="8"/>
        <w:tblW w:w="8617" w:type="dxa"/>
        <w:tblInd w:w="5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1527"/>
        <w:gridCol w:w="1493"/>
        <w:gridCol w:w="1476"/>
        <w:gridCol w:w="1510"/>
        <w:gridCol w:w="15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088" w:type="dxa"/>
            <w:noWrap w:val="0"/>
            <w:vAlign w:val="top"/>
          </w:tcPr>
          <w:p>
            <w:pPr>
              <w:pStyle w:val="11"/>
              <w:spacing w:before="264" w:line="215" w:lineRule="auto"/>
              <w:jc w:val="center"/>
              <w:rPr>
                <w:rFonts w:hint="eastAsia" w:ascii="仿宋" w:hAnsi="仿宋" w:eastAsia="仿宋" w:cs="仿宋"/>
                <w:spacing w:val="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3"/>
                <w:lang w:eastAsia="zh-CN"/>
              </w:rPr>
              <w:t>序号</w:t>
            </w:r>
          </w:p>
        </w:tc>
        <w:tc>
          <w:tcPr>
            <w:tcW w:w="1527" w:type="dxa"/>
            <w:noWrap w:val="0"/>
            <w:vAlign w:val="top"/>
          </w:tcPr>
          <w:p>
            <w:pPr>
              <w:pStyle w:val="11"/>
              <w:spacing w:before="264" w:line="215" w:lineRule="auto"/>
              <w:ind w:left="40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货物名称</w:t>
            </w:r>
          </w:p>
        </w:tc>
        <w:tc>
          <w:tcPr>
            <w:tcW w:w="1493" w:type="dxa"/>
            <w:noWrap w:val="0"/>
            <w:vAlign w:val="top"/>
          </w:tcPr>
          <w:p>
            <w:pPr>
              <w:pStyle w:val="11"/>
              <w:spacing w:before="264" w:line="215" w:lineRule="auto"/>
              <w:ind w:left="39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规格型号</w:t>
            </w:r>
          </w:p>
        </w:tc>
        <w:tc>
          <w:tcPr>
            <w:tcW w:w="1476" w:type="dxa"/>
            <w:noWrap w:val="0"/>
            <w:vAlign w:val="top"/>
          </w:tcPr>
          <w:p>
            <w:pPr>
              <w:pStyle w:val="11"/>
              <w:spacing w:before="263" w:line="216" w:lineRule="auto"/>
              <w:ind w:left="27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单价(元)</w:t>
            </w:r>
          </w:p>
        </w:tc>
        <w:tc>
          <w:tcPr>
            <w:tcW w:w="1510" w:type="dxa"/>
            <w:noWrap w:val="0"/>
            <w:vAlign w:val="top"/>
          </w:tcPr>
          <w:p>
            <w:pPr>
              <w:pStyle w:val="11"/>
              <w:spacing w:before="245" w:line="219" w:lineRule="auto"/>
              <w:ind w:left="6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数量</w:t>
            </w:r>
          </w:p>
        </w:tc>
        <w:tc>
          <w:tcPr>
            <w:tcW w:w="1523" w:type="dxa"/>
            <w:noWrap w:val="0"/>
            <w:vAlign w:val="top"/>
          </w:tcPr>
          <w:p>
            <w:pPr>
              <w:pStyle w:val="11"/>
              <w:spacing w:before="242" w:line="218" w:lineRule="auto"/>
              <w:ind w:left="29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总价(元)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088" w:type="dxa"/>
            <w:noWrap w:val="0"/>
            <w:vAlign w:val="top"/>
          </w:tcPr>
          <w:p>
            <w:pPr>
              <w:pStyle w:val="11"/>
              <w:spacing w:before="139" w:line="219" w:lineRule="auto"/>
              <w:ind w:left="170"/>
              <w:jc w:val="center"/>
              <w:rPr>
                <w:rFonts w:hint="eastAsia" w:ascii="仿宋" w:hAnsi="仿宋" w:eastAsia="仿宋" w:cs="仿宋"/>
                <w:spacing w:val="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>1</w:t>
            </w:r>
          </w:p>
        </w:tc>
        <w:tc>
          <w:tcPr>
            <w:tcW w:w="1527" w:type="dxa"/>
            <w:noWrap w:val="0"/>
            <w:vAlign w:val="top"/>
          </w:tcPr>
          <w:p>
            <w:pPr>
              <w:pStyle w:val="11"/>
              <w:spacing w:before="139" w:line="219" w:lineRule="auto"/>
              <w:ind w:left="17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pStyle w:val="11"/>
              <w:spacing w:before="200" w:line="185" w:lineRule="auto"/>
              <w:ind w:left="51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pStyle w:val="11"/>
              <w:spacing w:before="164"/>
              <w:ind w:left="80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pStyle w:val="11"/>
              <w:tabs>
                <w:tab w:val="left" w:pos="1187"/>
              </w:tabs>
              <w:spacing w:before="284" w:line="165" w:lineRule="auto"/>
              <w:ind w:left="765"/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523" w:type="dxa"/>
            <w:noWrap w:val="0"/>
            <w:vAlign w:val="top"/>
          </w:tcPr>
          <w:p>
            <w:pPr>
              <w:pStyle w:val="11"/>
              <w:spacing w:before="164"/>
              <w:ind w:left="777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>
            <w:pPr>
              <w:pStyle w:val="11"/>
              <w:spacing w:before="145" w:line="221" w:lineRule="auto"/>
              <w:ind w:left="650"/>
              <w:rPr>
                <w:rFonts w:hint="eastAsia" w:ascii="仿宋" w:hAnsi="仿宋" w:eastAsia="仿宋" w:cs="仿宋"/>
                <w:spacing w:val="1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3"/>
                <w:lang w:eastAsia="zh-CN"/>
              </w:rPr>
              <w:t>2</w:t>
            </w:r>
          </w:p>
        </w:tc>
        <w:tc>
          <w:tcPr>
            <w:tcW w:w="1527" w:type="dxa"/>
            <w:noWrap w:val="0"/>
            <w:vAlign w:val="top"/>
          </w:tcPr>
          <w:p>
            <w:pPr>
              <w:pStyle w:val="11"/>
              <w:spacing w:before="145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pStyle w:val="11"/>
              <w:spacing w:before="203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pStyle w:val="11"/>
              <w:spacing w:before="165"/>
              <w:ind w:left="85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pStyle w:val="11"/>
              <w:spacing w:before="276" w:line="179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>
            <w:pPr>
              <w:pStyle w:val="11"/>
              <w:spacing w:before="165"/>
              <w:ind w:left="848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088" w:type="dxa"/>
            <w:noWrap w:val="0"/>
            <w:vAlign w:val="top"/>
          </w:tcPr>
          <w:p>
            <w:pPr>
              <w:pStyle w:val="11"/>
              <w:spacing w:before="151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3</w:t>
            </w:r>
          </w:p>
        </w:tc>
        <w:tc>
          <w:tcPr>
            <w:tcW w:w="1527" w:type="dxa"/>
            <w:noWrap w:val="0"/>
            <w:vAlign w:val="top"/>
          </w:tcPr>
          <w:p>
            <w:pPr>
              <w:pStyle w:val="11"/>
              <w:spacing w:before="151" w:line="219" w:lineRule="auto"/>
              <w:ind w:left="409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pStyle w:val="11"/>
              <w:spacing w:before="212" w:line="185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pStyle w:val="11"/>
              <w:spacing w:before="176"/>
              <w:ind w:left="86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pStyle w:val="11"/>
              <w:spacing w:before="306" w:line="171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>
            <w:pPr>
              <w:pStyle w:val="11"/>
              <w:spacing w:before="176"/>
              <w:ind w:left="848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8" w:type="dxa"/>
            <w:noWrap w:val="0"/>
            <w:vAlign w:val="top"/>
          </w:tcPr>
          <w:p>
            <w:pPr>
              <w:pStyle w:val="11"/>
              <w:spacing w:before="145" w:line="221" w:lineRule="auto"/>
              <w:jc w:val="center"/>
              <w:rPr>
                <w:rFonts w:hint="eastAsia" w:ascii="仿宋" w:hAnsi="仿宋" w:eastAsia="仿宋" w:cs="仿宋"/>
                <w:spacing w:val="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lang w:eastAsia="zh-CN"/>
              </w:rPr>
              <w:t>4</w:t>
            </w:r>
          </w:p>
        </w:tc>
        <w:tc>
          <w:tcPr>
            <w:tcW w:w="1527" w:type="dxa"/>
            <w:noWrap w:val="0"/>
            <w:vAlign w:val="top"/>
          </w:tcPr>
          <w:p>
            <w:pPr>
              <w:pStyle w:val="11"/>
              <w:spacing w:before="145" w:line="221" w:lineRule="auto"/>
              <w:ind w:left="53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pStyle w:val="11"/>
              <w:spacing w:before="205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pStyle w:val="11"/>
              <w:spacing w:before="167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pStyle w:val="11"/>
              <w:spacing w:before="297" w:line="162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>
            <w:pPr>
              <w:pStyle w:val="11"/>
              <w:spacing w:before="167"/>
              <w:ind w:left="888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>
            <w:pPr>
              <w:pStyle w:val="11"/>
              <w:spacing w:before="149" w:line="221" w:lineRule="auto"/>
              <w:jc w:val="center"/>
              <w:rPr>
                <w:rFonts w:hint="eastAsia" w:ascii="仿宋" w:hAnsi="仿宋" w:eastAsia="仿宋" w:cs="仿宋"/>
                <w:spacing w:val="9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>5</w:t>
            </w:r>
          </w:p>
        </w:tc>
        <w:tc>
          <w:tcPr>
            <w:tcW w:w="1527" w:type="dxa"/>
            <w:noWrap w:val="0"/>
            <w:vAlign w:val="top"/>
          </w:tcPr>
          <w:p>
            <w:pPr>
              <w:pStyle w:val="11"/>
              <w:spacing w:before="149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pStyle w:val="11"/>
              <w:spacing w:before="207" w:line="183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pStyle w:val="11"/>
              <w:spacing w:before="169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pStyle w:val="11"/>
              <w:spacing w:before="280" w:line="176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>
            <w:pPr>
              <w:pStyle w:val="11"/>
              <w:spacing w:before="169"/>
              <w:ind w:left="848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>
            <w:pPr>
              <w:pStyle w:val="11"/>
              <w:spacing w:before="145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6</w:t>
            </w:r>
          </w:p>
        </w:tc>
        <w:tc>
          <w:tcPr>
            <w:tcW w:w="1527" w:type="dxa"/>
            <w:noWrap w:val="0"/>
            <w:vAlign w:val="center"/>
          </w:tcPr>
          <w:p>
            <w:pPr>
              <w:pStyle w:val="11"/>
              <w:spacing w:before="145" w:line="219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pStyle w:val="11"/>
              <w:spacing w:before="208" w:line="183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23" w:type="dxa"/>
            <w:noWrap w:val="0"/>
            <w:vAlign w:val="center"/>
          </w:tcPr>
          <w:p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>
            <w:pPr>
              <w:pStyle w:val="11"/>
              <w:spacing w:before="206" w:line="219" w:lineRule="auto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合计</w:t>
            </w:r>
          </w:p>
        </w:tc>
        <w:tc>
          <w:tcPr>
            <w:tcW w:w="7529" w:type="dxa"/>
            <w:gridSpan w:val="5"/>
            <w:noWrap w:val="0"/>
            <w:vAlign w:val="top"/>
          </w:tcPr>
          <w:p>
            <w:pPr>
              <w:pStyle w:val="11"/>
              <w:spacing w:before="206" w:line="219" w:lineRule="auto"/>
              <w:ind w:left="15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</w:rPr>
              <w:t>，小写：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08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529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</w:tbl>
    <w:p>
      <w:pPr>
        <w:pStyle w:val="2"/>
        <w:spacing w:before="143" w:line="219" w:lineRule="auto"/>
        <w:ind w:left="64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0"/>
          <w:sz w:val="23"/>
          <w:szCs w:val="23"/>
        </w:rPr>
        <w:t>(后附产品清单及参数)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</w:rPr>
        <w:t>二、交货条件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default" w:ascii="仿宋" w:hAnsi="仿宋" w:eastAsia="仿宋" w:cs="仿宋"/>
          <w:sz w:val="23"/>
          <w:szCs w:val="23"/>
          <w:lang w:val="en-US" w:eastAsia="zh-CN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(一)交货地点：</w:t>
      </w:r>
      <w:r>
        <w:rPr>
          <w:rFonts w:hint="eastAsia" w:ascii="仿宋" w:hAnsi="仿宋" w:eastAsia="仿宋" w:cs="仿宋"/>
          <w:spacing w:val="17"/>
          <w:sz w:val="23"/>
          <w:szCs w:val="23"/>
          <w:lang w:val="en-US" w:eastAsia="zh-CN"/>
        </w:rPr>
        <w:t>铜川职业技术学院。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52" w:firstLineChars="200"/>
        <w:textAlignment w:val="baseline"/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single"/>
        </w:rPr>
      </w:pP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(二)</w:t>
      </w:r>
      <w:r>
        <w:rPr>
          <w:rFonts w:hint="eastAsia" w:ascii="仿宋" w:hAnsi="仿宋" w:eastAsia="仿宋" w:cs="仿宋"/>
          <w:spacing w:val="-48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交</w:t>
      </w:r>
      <w:r>
        <w:rPr>
          <w:rFonts w:hint="eastAsia" w:ascii="仿宋" w:hAnsi="仿宋" w:eastAsia="仿宋" w:cs="仿宋"/>
          <w:spacing w:val="-48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货</w:t>
      </w:r>
      <w:r>
        <w:rPr>
          <w:rFonts w:hint="eastAsia" w:ascii="仿宋" w:hAnsi="仿宋" w:eastAsia="仿宋" w:cs="仿宋"/>
          <w:spacing w:val="-50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期</w:t>
      </w:r>
      <w:r>
        <w:rPr>
          <w:rFonts w:hint="eastAsia" w:ascii="仿宋" w:hAnsi="仿宋" w:eastAsia="仿宋" w:cs="仿宋"/>
          <w:spacing w:val="-62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：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single"/>
          <w:lang w:val="en-US" w:eastAsia="zh-CN"/>
        </w:rPr>
        <w:t>90日历天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single"/>
        </w:rPr>
        <w:t>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52" w:firstLineChars="200"/>
        <w:textAlignment w:val="baseline"/>
        <w:rPr>
          <w:rFonts w:hint="default" w:ascii="仿宋" w:hAnsi="仿宋" w:eastAsia="仿宋" w:cs="仿宋"/>
          <w:spacing w:val="-2"/>
          <w:sz w:val="23"/>
          <w:szCs w:val="23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none"/>
          <w:lang w:eastAsia="zh-CN"/>
        </w:rPr>
        <w:t>（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none"/>
          <w:lang w:val="en-US" w:eastAsia="zh-CN"/>
        </w:rPr>
        <w:t>三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none"/>
          <w:lang w:val="en-US" w:eastAsia="zh-CN"/>
        </w:rPr>
        <w:t>质保期：软件质保期3年，硬件设备质保期一年。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</w:rPr>
        <w:t>三、合同价款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4"/>
          <w:sz w:val="23"/>
          <w:szCs w:val="23"/>
        </w:rPr>
        <w:t>(一)合同总价为人民</w:t>
      </w:r>
      <w:r>
        <w:rPr>
          <w:rFonts w:hint="eastAsia" w:ascii="仿宋" w:hAnsi="仿宋" w:eastAsia="仿宋" w:cs="仿宋"/>
          <w:spacing w:val="-52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14"/>
          <w:sz w:val="23"/>
          <w:szCs w:val="23"/>
        </w:rPr>
        <w:t>币</w:t>
      </w:r>
      <w:r>
        <w:rPr>
          <w:rFonts w:hint="eastAsia" w:ascii="仿宋" w:hAnsi="仿宋" w:eastAsia="仿宋" w:cs="仿宋"/>
          <w:spacing w:val="14"/>
          <w:sz w:val="23"/>
          <w:szCs w:val="23"/>
          <w:u w:val="single"/>
        </w:rPr>
        <w:t xml:space="preserve">(大写):    </w:t>
      </w:r>
      <w:r>
        <w:rPr>
          <w:rFonts w:hint="eastAsia" w:ascii="仿宋" w:hAnsi="仿宋" w:eastAsia="仿宋" w:cs="仿宋"/>
          <w:spacing w:val="13"/>
          <w:sz w:val="23"/>
          <w:szCs w:val="23"/>
        </w:rPr>
        <w:t xml:space="preserve">；¥ </w:t>
      </w:r>
      <w:r>
        <w:rPr>
          <w:rFonts w:hint="eastAsia" w:ascii="仿宋" w:hAnsi="仿宋" w:eastAsia="仿宋" w:cs="仿宋"/>
          <w:spacing w:val="13"/>
          <w:sz w:val="23"/>
          <w:szCs w:val="23"/>
          <w:u w:val="single"/>
        </w:rPr>
        <w:t xml:space="preserve">        </w:t>
      </w:r>
      <w:r>
        <w:rPr>
          <w:rFonts w:hint="eastAsia" w:ascii="仿宋" w:hAnsi="仿宋" w:eastAsia="仿宋" w:cs="仿宋"/>
          <w:spacing w:val="13"/>
          <w:sz w:val="23"/>
          <w:szCs w:val="23"/>
        </w:rPr>
        <w:t xml:space="preserve">    元。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(二)合同总价包括但不限于货物的制造、包装、生产、</w:t>
      </w:r>
      <w:r>
        <w:rPr>
          <w:rFonts w:hint="eastAsia" w:ascii="仿宋" w:hAnsi="仿宋" w:eastAsia="仿宋" w:cs="仿宋"/>
          <w:spacing w:val="8"/>
          <w:sz w:val="23"/>
          <w:szCs w:val="23"/>
        </w:rPr>
        <w:t>运输、装卸、保险、检测、验</w:t>
      </w:r>
      <w:r>
        <w:rPr>
          <w:rFonts w:hint="eastAsia" w:ascii="仿宋" w:hAnsi="仿宋" w:eastAsia="仿宋" w:cs="仿宋"/>
          <w:spacing w:val="-2"/>
          <w:sz w:val="23"/>
          <w:szCs w:val="23"/>
        </w:rPr>
        <w:t>收、税金等一切费用。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(三)合同总价一次性包死，不受市场价格变化因素的影响。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6" w:firstLineChars="200"/>
        <w:textAlignment w:val="baseline"/>
        <w:outlineLvl w:val="4"/>
        <w:rPr>
          <w:rFonts w:hint="eastAsia" w:ascii="仿宋" w:hAnsi="仿宋" w:eastAsia="仿宋" w:cs="仿宋"/>
          <w:b/>
          <w:bCs/>
          <w:spacing w:val="-4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4"/>
          <w:sz w:val="23"/>
          <w:szCs w:val="23"/>
        </w:rPr>
        <w:t>四、款项结算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4" w:firstLineChars="200"/>
        <w:textAlignment w:val="baseline"/>
        <w:outlineLvl w:val="4"/>
        <w:rPr>
          <w:rFonts w:hint="eastAsia" w:ascii="仿宋" w:hAnsi="仿宋" w:eastAsia="仿宋" w:cs="仿宋"/>
          <w:b w:val="0"/>
          <w:bCs w:val="0"/>
          <w:spacing w:val="-4"/>
          <w:sz w:val="23"/>
          <w:szCs w:val="23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4"/>
          <w:sz w:val="23"/>
          <w:szCs w:val="23"/>
          <w:lang w:val="en-US" w:eastAsia="zh-CN"/>
        </w:rPr>
        <w:t>（一）付款方式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pacing w:val="9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 xml:space="preserve">1、付款条件说明：合同签订后 ，达到付款条件起10日内，支付合同总金额的 30.00%。 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pacing w:val="9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 xml:space="preserve">2、付款条件说明：所有软硬件供货安装培训完成后，达到付款条件起10日内，支付合同总金额的30.00%。 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pacing w:val="9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3、付款条件说明：采购人整体验收合格后，达到付款条件起 30 日内，支付合同总金额的30.00%。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pacing w:val="9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4、付款条件说明：质保期满后，达到付款条件起30日内，支付合同总金额的 10.00%。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(二)支付方式：银行转账。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(三)结算方式：付款前乙方应向甲方提供合法有效的全额发票</w:t>
      </w:r>
      <w:r>
        <w:rPr>
          <w:rFonts w:hint="eastAsia" w:ascii="仿宋" w:hAnsi="仿宋" w:eastAsia="仿宋" w:cs="仿宋"/>
          <w:spacing w:val="1"/>
          <w:sz w:val="23"/>
          <w:szCs w:val="23"/>
        </w:rPr>
        <w:t>与甲方结算。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五</w:t>
      </w:r>
      <w:r>
        <w:rPr>
          <w:rFonts w:hint="eastAsia" w:ascii="仿宋" w:hAnsi="仿宋" w:eastAsia="仿宋" w:cs="仿宋"/>
          <w:spacing w:val="-56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、双方的权利和义务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(一)甲方的权利与义务</w:t>
      </w:r>
    </w:p>
    <w:p>
      <w:pPr>
        <w:pStyle w:val="2"/>
        <w:widowControl/>
        <w:tabs>
          <w:tab w:val="left" w:pos="8820"/>
        </w:tabs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甲方在收到货物通知后，应按</w:t>
      </w: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招标</w:t>
      </w:r>
      <w:r>
        <w:rPr>
          <w:rFonts w:hint="eastAsia" w:ascii="仿宋" w:hAnsi="仿宋" w:eastAsia="仿宋" w:cs="仿宋"/>
          <w:spacing w:val="5"/>
          <w:sz w:val="23"/>
          <w:szCs w:val="23"/>
        </w:rPr>
        <w:t>文件的需求进行核实，如发现</w:t>
      </w:r>
      <w:r>
        <w:rPr>
          <w:rFonts w:hint="eastAsia" w:ascii="仿宋" w:hAnsi="仿宋" w:eastAsia="仿宋" w:cs="仿宋"/>
          <w:spacing w:val="4"/>
          <w:sz w:val="23"/>
          <w:szCs w:val="23"/>
        </w:rPr>
        <w:t>不符合合同规定或短缺，</w:t>
      </w:r>
      <w:r>
        <w:rPr>
          <w:rFonts w:hint="eastAsia" w:ascii="仿宋" w:hAnsi="仿宋" w:eastAsia="仿宋" w:cs="仿宋"/>
          <w:spacing w:val="5"/>
          <w:sz w:val="23"/>
          <w:szCs w:val="23"/>
        </w:rPr>
        <w:t>及时提出，甲方在收到货后，组织人员按提供的技术参数指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标进行验收。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(二)乙方的权利与义务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1、乙方在合同约定的时间内交付产品。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2、乙方所提供的产品必须保证原厂生产，符合采购技术需求，运输及安装</w:t>
      </w:r>
      <w:r>
        <w:rPr>
          <w:rFonts w:hint="eastAsia" w:ascii="仿宋" w:hAnsi="仿宋" w:eastAsia="仿宋" w:cs="仿宋"/>
          <w:spacing w:val="6"/>
          <w:sz w:val="23"/>
          <w:szCs w:val="23"/>
        </w:rPr>
        <w:t>全过程中的安</w:t>
      </w:r>
      <w:r>
        <w:rPr>
          <w:rFonts w:hint="eastAsia" w:ascii="仿宋" w:hAnsi="仿宋" w:eastAsia="仿宋" w:cs="仿宋"/>
          <w:spacing w:val="-6"/>
          <w:sz w:val="23"/>
          <w:szCs w:val="23"/>
        </w:rPr>
        <w:t>全由乙方负责。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3、乙方应积极配合甲方，最终完成产品的供货。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六、质量保证</w:t>
      </w:r>
      <w:bookmarkStart w:id="0" w:name="_GoBack"/>
      <w:bookmarkEnd w:id="0"/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0" w:firstLineChars="200"/>
        <w:textAlignment w:val="baseline"/>
        <w:outlineLvl w:val="4"/>
        <w:rPr>
          <w:rFonts w:hint="eastAsia" w:ascii="仿宋" w:hAnsi="仿宋" w:eastAsia="仿宋" w:cs="仿宋"/>
          <w:b w:val="0"/>
          <w:bCs w:val="0"/>
          <w:sz w:val="23"/>
          <w:szCs w:val="23"/>
        </w:rPr>
      </w:pPr>
      <w:r>
        <w:rPr>
          <w:rFonts w:hint="eastAsia" w:ascii="仿宋" w:hAnsi="仿宋" w:eastAsia="仿宋" w:cs="仿宋"/>
          <w:b w:val="0"/>
          <w:bCs w:val="0"/>
          <w:sz w:val="23"/>
          <w:szCs w:val="23"/>
        </w:rPr>
        <w:t>软件质保期3年，硬件设备质保期一年（如中标人承诺的质保时间超过招标 文件要求的，按其承诺时间质保）。质保期内提供24小时服务，质保期间项目所含内容的一切质量问题及产品本身质量原因 造成的直接经济损失应全部由供应商自行负责。中标人承诺的质保期起始时间为自终验合格之日起。所有产品质量必须符合国 家有关规范和相关政策。国家没有相应标准、规范的，可使用行业标准、规定；非标产品按采购约定的技术要求和规范。所有 产品及辅材必须是未使用过的新产品，质量优良、渠道正当，配置合理。供应商还应为项目提供良好的售后服务，保证采购人在后续产品使用过程中能够获得更好的使用体验。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z w:val="23"/>
          <w:szCs w:val="23"/>
        </w:rPr>
        <w:t>七、包装和储存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(一)产品/设备及其备附件的包装应为出厂时的原包装，包装内应附有详细的装箱清单、</w:t>
      </w:r>
      <w:r>
        <w:rPr>
          <w:rFonts w:hint="eastAsia" w:ascii="仿宋" w:hAnsi="仿宋" w:eastAsia="仿宋" w:cs="仿宋"/>
          <w:spacing w:val="-2"/>
          <w:sz w:val="23"/>
          <w:szCs w:val="23"/>
        </w:rPr>
        <w:t>出厂合格证明及其他相关资料。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(二)运输由乙方负责，运杂费已包含在合同总</w:t>
      </w:r>
      <w:r>
        <w:rPr>
          <w:rFonts w:hint="eastAsia" w:ascii="仿宋" w:hAnsi="仿宋" w:eastAsia="仿宋" w:cs="仿宋"/>
          <w:spacing w:val="6"/>
          <w:sz w:val="23"/>
          <w:szCs w:val="23"/>
        </w:rPr>
        <w:t>价内，包括从产品/设备供应地点运送至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1"/>
          <w:sz w:val="23"/>
          <w:szCs w:val="23"/>
        </w:rPr>
        <w:t>交付地点所含的运输费、装卸费、仓储费、保险费等。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(三)运输方式由乙方自行选择，但必须保证按期交付。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(四)产品/设备及其备附件到达甲方指定地点后，乙方应按有关技术规程和甲方要求进</w:t>
      </w:r>
      <w:r>
        <w:rPr>
          <w:rFonts w:hint="eastAsia" w:ascii="仿宋" w:hAnsi="仿宋" w:eastAsia="仿宋" w:cs="仿宋"/>
          <w:spacing w:val="-13"/>
          <w:sz w:val="23"/>
          <w:szCs w:val="23"/>
        </w:rPr>
        <w:t>行存放和保管。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5"/>
          <w:sz w:val="23"/>
          <w:szCs w:val="23"/>
        </w:rPr>
        <w:t>八、验收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pacing w:val="8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 xml:space="preserve">1.项目验收分初验和终验: 初验：货物到达交货地点后，由采购人根据合同对货物（设备） 的名称、品牌、规格、型号、产地、数量进行检查，同时检查货物外观，是否有划痕或破损的，并做好相应记录。终验：所 有货物(产品)完毕交货，对采购人进行总体培训，由成交单位提请采购人组织对项目整体进行验收，合格后签发《终验合格单》。 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2.验收依据及标准 （1）合同文本及合同补充文件（条款）。（2）产品说明书或相关技术资料</w:t>
      </w:r>
      <w:r>
        <w:rPr>
          <w:rFonts w:hint="eastAsia" w:ascii="仿宋" w:hAnsi="仿宋" w:eastAsia="仿宋" w:cs="仿宋"/>
          <w:spacing w:val="8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pacing w:val="8"/>
          <w:sz w:val="24"/>
          <w:szCs w:val="24"/>
        </w:rPr>
        <w:t>（3）招标文件。（4）中标供应商的投标文件。（5）合同货物清单。（6）生产厂家的企业资质、检验报告、货物的执行标准等。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双方拟定的其他条款：</w:t>
      </w:r>
      <w:r>
        <w:rPr>
          <w:rFonts w:hint="eastAsia" w:ascii="仿宋" w:hAnsi="仿宋" w:eastAsia="仿宋" w:cs="仿宋"/>
          <w:spacing w:val="18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18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-1"/>
          <w:sz w:val="24"/>
          <w:szCs w:val="24"/>
          <w:u w:val="single"/>
        </w:rPr>
        <w:t>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34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九、售后服务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乙方提供以下售后服务：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1"/>
          <w:sz w:val="24"/>
          <w:szCs w:val="24"/>
        </w:rPr>
        <w:t>质保期</w:t>
      </w:r>
      <w:r>
        <w:rPr>
          <w:rFonts w:hint="eastAsia" w:ascii="仿宋" w:hAnsi="仿宋" w:eastAsia="仿宋" w:cs="仿宋"/>
          <w:spacing w:val="-3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-11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双方拟定的其他条款。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2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0"/>
          <w:sz w:val="24"/>
          <w:szCs w:val="24"/>
        </w:rPr>
        <w:t>十、技术与服务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</w:t>
      </w:r>
      <w:r>
        <w:rPr>
          <w:rFonts w:hint="eastAsia" w:ascii="仿宋" w:hAnsi="仿宋" w:eastAsia="仿宋" w:cs="仿宋"/>
          <w:spacing w:val="-6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一</w:t>
      </w:r>
      <w:r>
        <w:rPr>
          <w:rFonts w:hint="eastAsia" w:ascii="仿宋" w:hAnsi="仿宋" w:eastAsia="仿宋" w:cs="仿宋"/>
          <w:spacing w:val="-7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)技术资料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1、产品/设备合格证；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2、产品/设备技术参数；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2"/>
          <w:sz w:val="24"/>
          <w:szCs w:val="24"/>
        </w:rPr>
        <w:t>3、产品/设备使用维护说明书(中文);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4、其它资料。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5"/>
          <w:sz w:val="24"/>
          <w:szCs w:val="24"/>
        </w:rPr>
        <w:t>(二)服务承诺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以响应文件、澄清表(函)、合同和随产品/设备的相关文件为准。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(三)双方拟定的其他条款。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4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3"/>
          <w:sz w:val="24"/>
          <w:szCs w:val="24"/>
        </w:rPr>
        <w:t>十</w:t>
      </w:r>
      <w:r>
        <w:rPr>
          <w:rFonts w:hint="eastAsia" w:ascii="仿宋" w:hAnsi="仿宋" w:eastAsia="仿宋" w:cs="仿宋"/>
          <w:spacing w:val="-6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4"/>
          <w:szCs w:val="24"/>
        </w:rPr>
        <w:t>一、违约责任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(一)合同中未约定的，按《民法典》中的相关条款执行。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(二)如乙方事先未征得甲方书面同意而单方面延迟交货的，每逾期一日按照</w:t>
      </w:r>
      <w:r>
        <w:rPr>
          <w:rFonts w:hint="eastAsia" w:ascii="仿宋" w:hAnsi="仿宋" w:eastAsia="仿宋" w:cs="仿宋"/>
          <w:spacing w:val="7"/>
          <w:sz w:val="24"/>
          <w:szCs w:val="24"/>
        </w:rPr>
        <w:t>合同总额的</w:t>
      </w:r>
      <w:r>
        <w:rPr>
          <w:rFonts w:hint="eastAsia" w:ascii="仿宋" w:hAnsi="仿宋" w:eastAsia="仿宋" w:cs="仿宋"/>
          <w:spacing w:val="5"/>
          <w:sz w:val="24"/>
          <w:szCs w:val="24"/>
        </w:rPr>
        <w:t>万分</w:t>
      </w:r>
      <w:r>
        <w:rPr>
          <w:rFonts w:hint="eastAsia" w:ascii="仿宋" w:hAnsi="仿宋" w:eastAsia="仿宋" w:cs="仿宋"/>
          <w:spacing w:val="5"/>
          <w:sz w:val="24"/>
          <w:szCs w:val="24"/>
          <w:u w:val="single"/>
        </w:rPr>
        <w:t>之三</w:t>
      </w:r>
      <w:r>
        <w:rPr>
          <w:rFonts w:hint="eastAsia" w:ascii="仿宋" w:hAnsi="仿宋" w:eastAsia="仿宋" w:cs="仿宋"/>
          <w:spacing w:val="5"/>
          <w:sz w:val="24"/>
          <w:szCs w:val="24"/>
        </w:rPr>
        <w:t xml:space="preserve"> 承担违约责任：乙方逾期累计15天以上的，甲方有权解除合同，并承担合同价款1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%的违约金。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(三)乙方所供产品不符合</w:t>
      </w:r>
      <w:r>
        <w:rPr>
          <w:rFonts w:hint="eastAsia" w:ascii="仿宋" w:hAnsi="仿宋" w:eastAsia="仿宋" w:cs="仿宋"/>
          <w:spacing w:val="8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文件规定或不合格的或本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项目不能通过验收的，甲方有权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解除合同，同时乙方应赔偿相应损失。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(四)部分产品不合格的，甲方有权要求乙方在指定期间内免费更换，乙方拒不更换</w:t>
      </w:r>
      <w:r>
        <w:rPr>
          <w:rFonts w:hint="eastAsia" w:ascii="仿宋" w:hAnsi="仿宋" w:eastAsia="仿宋" w:cs="仿宋"/>
          <w:spacing w:val="8"/>
          <w:sz w:val="24"/>
          <w:szCs w:val="24"/>
        </w:rPr>
        <w:t>的，</w:t>
      </w:r>
      <w:r>
        <w:rPr>
          <w:rFonts w:hint="eastAsia" w:ascii="仿宋" w:hAnsi="仿宋" w:eastAsia="仿宋" w:cs="仿宋"/>
          <w:spacing w:val="4"/>
          <w:sz w:val="24"/>
          <w:szCs w:val="24"/>
        </w:rPr>
        <w:t>甲方有权自行或委托第三方购买，但产品供应费、运输费等合理费用由乙方承担。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(五)因乙方提供的产品侵害他人权利或者造成甲方损害的，乙方承担全部赔偿责任。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(六)乙方在提供产品过程中造成他人损害的，由乙方承担全部责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任。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spacing w:val="16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(七)双方拟定的其他条款。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rPr>
          <w:rFonts w:hint="eastAsia" w:ascii="仿宋" w:hAnsi="仿宋" w:eastAsia="仿宋" w:cs="仿宋"/>
          <w:b/>
          <w:bCs/>
          <w:spacing w:val="12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</w:rPr>
        <w:t>十 二 、</w:t>
      </w:r>
      <w:r>
        <w:rPr>
          <w:rFonts w:hint="eastAsia" w:ascii="仿宋" w:hAnsi="仿宋" w:eastAsia="仿宋" w:cs="仿宋"/>
          <w:b/>
          <w:bCs/>
          <w:spacing w:val="12"/>
          <w:sz w:val="23"/>
          <w:szCs w:val="23"/>
          <w:lang w:val="en-US" w:eastAsia="zh-CN"/>
        </w:rPr>
        <w:t>违约责任及</w:t>
      </w:r>
      <w:r>
        <w:rPr>
          <w:rFonts w:hint="eastAsia" w:ascii="仿宋" w:hAnsi="仿宋" w:eastAsia="仿宋" w:cs="仿宋"/>
          <w:b/>
          <w:bCs/>
          <w:spacing w:val="12"/>
          <w:sz w:val="23"/>
          <w:szCs w:val="23"/>
        </w:rPr>
        <w:t>争议解决</w:t>
      </w:r>
    </w:p>
    <w:p>
      <w:pPr>
        <w:pStyle w:val="2"/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line="360" w:lineRule="auto"/>
        <w:ind w:firstLine="508" w:firstLineChars="200"/>
        <w:textAlignment w:val="baseline"/>
        <w:outlineLvl w:val="4"/>
        <w:rPr>
          <w:rFonts w:hint="eastAsia" w:ascii="仿宋" w:hAnsi="仿宋" w:eastAsia="仿宋" w:cs="仿宋"/>
          <w:b w:val="0"/>
          <w:bCs w:val="0"/>
          <w:spacing w:val="12"/>
          <w:sz w:val="23"/>
          <w:szCs w:val="23"/>
        </w:rPr>
      </w:pPr>
      <w:r>
        <w:rPr>
          <w:rFonts w:hint="eastAsia" w:ascii="仿宋" w:hAnsi="仿宋" w:eastAsia="仿宋" w:cs="仿宋"/>
          <w:b w:val="0"/>
          <w:bCs w:val="0"/>
          <w:spacing w:val="12"/>
          <w:sz w:val="23"/>
          <w:szCs w:val="23"/>
        </w:rPr>
        <w:t xml:space="preserve">按《中华人民共和国政府采购法》及实施条例、《中华人民共和国民法典》中的相关条款和本项目合同约定执行。 </w:t>
      </w:r>
    </w:p>
    <w:p>
      <w:pPr>
        <w:pStyle w:val="2"/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line="360" w:lineRule="auto"/>
        <w:ind w:firstLine="508" w:firstLineChars="200"/>
        <w:textAlignment w:val="baseline"/>
        <w:outlineLvl w:val="4"/>
        <w:rPr>
          <w:rFonts w:hint="eastAsia" w:ascii="仿宋" w:hAnsi="仿宋" w:eastAsia="仿宋" w:cs="仿宋"/>
          <w:b w:val="0"/>
          <w:bCs w:val="0"/>
          <w:spacing w:val="12"/>
          <w:sz w:val="23"/>
          <w:szCs w:val="23"/>
        </w:rPr>
      </w:pPr>
      <w:r>
        <w:rPr>
          <w:rFonts w:hint="eastAsia" w:ascii="仿宋" w:hAnsi="仿宋" w:eastAsia="仿宋" w:cs="仿宋"/>
          <w:b w:val="0"/>
          <w:bCs w:val="0"/>
          <w:spacing w:val="12"/>
          <w:sz w:val="23"/>
          <w:szCs w:val="23"/>
        </w:rPr>
        <w:t xml:space="preserve">未按合同要求提供产品和服务或不能满足技术要求，采购人有权终止合同，并对成交单位违约行为进行追究。 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</w:rPr>
        <w:t>十三、合同变更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jc w:val="both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在合同的执行期内，双方均不得随意变更或解除合同。如因项目需求情况发生变化，需要</w:t>
      </w:r>
      <w:r>
        <w:rPr>
          <w:rFonts w:hint="eastAsia" w:ascii="仿宋" w:hAnsi="仿宋" w:eastAsia="仿宋" w:cs="仿宋"/>
          <w:spacing w:val="6"/>
          <w:sz w:val="23"/>
          <w:szCs w:val="23"/>
        </w:rPr>
        <w:t>项目变更的，应双方协商后签订项目变更协议，并经鉴证方确认后生效(如双方变更事项不能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8"/>
          <w:sz w:val="23"/>
          <w:szCs w:val="23"/>
        </w:rPr>
        <w:t>达成一致的，仍按原合同履行，否则视为违约)。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</w:rPr>
        <w:t>十四、合同生效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 xml:space="preserve">本合同一式 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伍</w:t>
      </w:r>
      <w:r>
        <w:rPr>
          <w:rFonts w:hint="eastAsia" w:ascii="仿宋" w:hAnsi="仿宋" w:eastAsia="仿宋" w:cs="仿宋"/>
          <w:spacing w:val="5"/>
          <w:sz w:val="23"/>
          <w:szCs w:val="23"/>
        </w:rPr>
        <w:t xml:space="preserve"> 份，甲方持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份，乙方持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份，采购代理机构留存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壹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份，本合同甲、</w:t>
      </w:r>
      <w:r>
        <w:rPr>
          <w:rFonts w:hint="eastAsia" w:ascii="仿宋" w:hAnsi="仿宋" w:eastAsia="仿宋" w:cs="仿宋"/>
          <w:spacing w:val="9"/>
          <w:sz w:val="23"/>
          <w:szCs w:val="23"/>
        </w:rPr>
        <w:t>乙各方签字并盖章后生效，合同执行完毕后，自</w:t>
      </w:r>
      <w:r>
        <w:rPr>
          <w:rFonts w:hint="eastAsia" w:ascii="仿宋" w:hAnsi="仿宋" w:eastAsia="仿宋" w:cs="仿宋"/>
          <w:spacing w:val="8"/>
          <w:sz w:val="23"/>
          <w:szCs w:val="23"/>
        </w:rPr>
        <w:t>动失效(合同的服务承诺则长期有效)。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</w:rPr>
        <w:t>十五、其他事项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(一)在合同的履行期间以及履行期后，采购人可以随时检查项目的执行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情况，对采购标</w:t>
      </w:r>
      <w:r>
        <w:rPr>
          <w:rFonts w:hint="eastAsia" w:ascii="仿宋" w:hAnsi="仿宋" w:eastAsia="仿宋" w:cs="仿宋"/>
          <w:spacing w:val="2"/>
          <w:sz w:val="23"/>
          <w:szCs w:val="23"/>
        </w:rPr>
        <w:t>准、采购内容进行调查核实，并对发现的问</w:t>
      </w:r>
      <w:r>
        <w:rPr>
          <w:rFonts w:hint="eastAsia" w:ascii="仿宋" w:hAnsi="仿宋" w:eastAsia="仿宋" w:cs="仿宋"/>
          <w:spacing w:val="1"/>
          <w:sz w:val="23"/>
          <w:szCs w:val="23"/>
        </w:rPr>
        <w:t>题进行处理。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1"/>
          <w:sz w:val="23"/>
          <w:szCs w:val="23"/>
        </w:rPr>
        <w:t>(二)竞争性</w:t>
      </w:r>
      <w:r>
        <w:rPr>
          <w:rFonts w:hint="eastAsia" w:ascii="仿宋" w:hAnsi="仿宋" w:eastAsia="仿宋" w:cs="仿宋"/>
          <w:spacing w:val="11"/>
          <w:sz w:val="23"/>
          <w:szCs w:val="23"/>
          <w:lang w:eastAsia="zh-CN"/>
        </w:rPr>
        <w:t>招标</w:t>
      </w:r>
      <w:r>
        <w:rPr>
          <w:rFonts w:hint="eastAsia" w:ascii="仿宋" w:hAnsi="仿宋" w:eastAsia="仿宋" w:cs="仿宋"/>
          <w:spacing w:val="11"/>
          <w:sz w:val="23"/>
          <w:szCs w:val="23"/>
        </w:rPr>
        <w:t>文件、响应文件、澄清表(函)、成交通知书、</w:t>
      </w:r>
      <w:r>
        <w:rPr>
          <w:rFonts w:hint="eastAsia" w:ascii="仿宋" w:hAnsi="仿宋" w:eastAsia="仿宋" w:cs="仿宋"/>
          <w:spacing w:val="10"/>
          <w:sz w:val="23"/>
          <w:szCs w:val="23"/>
        </w:rPr>
        <w:t>合同附件均为合同不可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14"/>
          <w:sz w:val="23"/>
          <w:szCs w:val="23"/>
        </w:rPr>
        <w:t>分割的部分。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(三)甲乙双方因不可抗力导致本合同全部或部分不能履行时，发生不可抗力的一方应当</w:t>
      </w:r>
      <w:r>
        <w:rPr>
          <w:rFonts w:hint="eastAsia" w:ascii="仿宋" w:hAnsi="仿宋" w:eastAsia="仿宋" w:cs="仿宋"/>
          <w:spacing w:val="4"/>
          <w:sz w:val="23"/>
          <w:szCs w:val="23"/>
        </w:rPr>
        <w:t>在不可抗力发生后</w:t>
      </w:r>
      <w:r>
        <w:rPr>
          <w:rFonts w:hint="eastAsia" w:ascii="仿宋" w:hAnsi="仿宋" w:eastAsia="仿宋" w:cs="仿宋"/>
          <w:spacing w:val="-4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  <w:u w:val="single"/>
        </w:rPr>
        <w:t>3</w:t>
      </w:r>
      <w:r>
        <w:rPr>
          <w:rFonts w:hint="eastAsia" w:ascii="仿宋" w:hAnsi="仿宋" w:eastAsia="仿宋" w:cs="仿宋"/>
          <w:spacing w:val="19"/>
          <w:w w:val="101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</w:rPr>
        <w:t>天内书面通知对方，以减轻可</w:t>
      </w:r>
      <w:r>
        <w:rPr>
          <w:rFonts w:hint="eastAsia" w:ascii="仿宋" w:hAnsi="仿宋" w:eastAsia="仿宋" w:cs="仿宋"/>
          <w:spacing w:val="3"/>
          <w:sz w:val="23"/>
          <w:szCs w:val="23"/>
        </w:rPr>
        <w:t>能给对方造成的损失。因不可抗力导致本</w:t>
      </w:r>
      <w:r>
        <w:rPr>
          <w:rFonts w:hint="eastAsia" w:ascii="仿宋" w:hAnsi="仿宋" w:eastAsia="仿宋" w:cs="仿宋"/>
          <w:sz w:val="23"/>
          <w:szCs w:val="23"/>
        </w:rPr>
        <w:t>合同全部或部分不能履行时，双方各自承担其因此而造成的损失、损害。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-8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(四)合同未尽事宜，由甲、乙双方协商并经鉴证方确认后签订政府采购补充合同，与原</w:t>
      </w:r>
      <w:r>
        <w:rPr>
          <w:rFonts w:hint="eastAsia" w:ascii="仿宋" w:hAnsi="仿宋" w:eastAsia="仿宋" w:cs="仿宋"/>
          <w:spacing w:val="3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8"/>
          <w:sz w:val="23"/>
          <w:szCs w:val="23"/>
        </w:rPr>
        <w:t>合同具有同等法律效力。</w:t>
      </w:r>
    </w:p>
    <w:p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</w:rPr>
      </w:pPr>
    </w:p>
    <w:p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</w:rPr>
      </w:pPr>
    </w:p>
    <w:p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pacing w:val="7"/>
          <w:sz w:val="25"/>
          <w:szCs w:val="25"/>
        </w:rPr>
        <w:t>(本页无正文)</w:t>
      </w:r>
    </w:p>
    <w:p>
      <w:pPr>
        <w:spacing w:line="59" w:lineRule="exact"/>
        <w:rPr>
          <w:rFonts w:hint="eastAsia" w:ascii="仿宋" w:hAnsi="仿宋" w:eastAsia="仿宋" w:cs="仿宋"/>
        </w:rPr>
      </w:pPr>
    </w:p>
    <w:tbl>
      <w:tblPr>
        <w:tblStyle w:val="8"/>
        <w:tblW w:w="8749" w:type="dxa"/>
        <w:tblInd w:w="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1"/>
        <w:gridCol w:w="2877"/>
        <w:gridCol w:w="28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991" w:type="dxa"/>
            <w:noWrap w:val="0"/>
            <w:vAlign w:val="top"/>
          </w:tcPr>
          <w:p>
            <w:pPr>
              <w:pStyle w:val="11"/>
              <w:spacing w:before="167" w:line="221" w:lineRule="auto"/>
              <w:ind w:left="1135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甲</w:t>
            </w:r>
            <w:r>
              <w:rPr>
                <w:rFonts w:hint="eastAsia" w:ascii="仿宋" w:hAnsi="仿宋" w:eastAsia="仿宋" w:cs="仿宋"/>
                <w:spacing w:val="6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方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pStyle w:val="11"/>
              <w:spacing w:before="167" w:line="221" w:lineRule="auto"/>
              <w:ind w:left="107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乙</w:t>
            </w:r>
            <w:r>
              <w:rPr>
                <w:rFonts w:hint="eastAsia" w:ascii="仿宋" w:hAnsi="仿宋" w:eastAsia="仿宋" w:cs="仿宋"/>
                <w:spacing w:val="28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方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pStyle w:val="11"/>
              <w:spacing w:before="166" w:line="219" w:lineRule="auto"/>
              <w:ind w:left="95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见 证</w:t>
            </w:r>
            <w:r>
              <w:rPr>
                <w:rFonts w:hint="eastAsia" w:ascii="仿宋" w:hAnsi="仿宋" w:eastAsia="仿宋" w:cs="仿宋"/>
                <w:spacing w:val="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991" w:type="dxa"/>
            <w:noWrap w:val="0"/>
            <w:vAlign w:val="top"/>
          </w:tcPr>
          <w:p>
            <w:pPr>
              <w:spacing w:line="283" w:lineRule="auto"/>
              <w:rPr>
                <w:rFonts w:hint="eastAsia" w:ascii="仿宋" w:hAnsi="仿宋" w:eastAsia="仿宋" w:cs="仿宋"/>
              </w:rPr>
            </w:pPr>
          </w:p>
          <w:p>
            <w:pPr>
              <w:pStyle w:val="11"/>
              <w:spacing w:before="85" w:line="350" w:lineRule="auto"/>
              <w:ind w:left="114" w:firstLine="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采购人全称：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</w:rPr>
              <w:t>(公章)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pStyle w:val="11"/>
              <w:spacing w:before="152" w:line="302" w:lineRule="auto"/>
              <w:ind w:left="83" w:firstLine="1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6"/>
                <w:szCs w:val="26"/>
                <w:lang w:eastAsia="zh-CN"/>
              </w:rPr>
              <w:t>成交供应商全称：</w:t>
            </w:r>
            <w:r>
              <w:rPr>
                <w:rFonts w:hint="eastAsia" w:ascii="仿宋" w:hAnsi="仿宋" w:eastAsia="仿宋" w:cs="仿宋"/>
                <w:spacing w:val="20"/>
                <w:sz w:val="26"/>
                <w:szCs w:val="26"/>
                <w:lang w:eastAsia="zh-CN"/>
              </w:rPr>
              <w:t>(公章)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spacing w:line="305" w:lineRule="auto"/>
              <w:rPr>
                <w:rFonts w:hint="eastAsia" w:ascii="仿宋" w:hAnsi="仿宋" w:eastAsia="仿宋" w:cs="仿宋"/>
              </w:rPr>
            </w:pPr>
          </w:p>
          <w:p>
            <w:pPr>
              <w:pStyle w:val="11"/>
              <w:spacing w:before="179" w:line="219" w:lineRule="auto"/>
              <w:ind w:left="48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7"/>
                <w:sz w:val="26"/>
                <w:szCs w:val="26"/>
              </w:rPr>
              <w:t>(公章)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991" w:type="dxa"/>
            <w:noWrap w:val="0"/>
            <w:vAlign w:val="top"/>
          </w:tcPr>
          <w:p>
            <w:pPr>
              <w:pStyle w:val="11"/>
              <w:spacing w:before="176" w:line="22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地址：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pStyle w:val="11"/>
              <w:spacing w:before="152" w:line="295" w:lineRule="auto"/>
              <w:ind w:left="102" w:hanging="1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7"/>
                <w:sz w:val="26"/>
                <w:szCs w:val="26"/>
              </w:rPr>
              <w:t>地址：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pStyle w:val="11"/>
              <w:spacing w:before="1" w:line="209" w:lineRule="auto"/>
              <w:ind w:left="11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8"/>
                <w:sz w:val="26"/>
                <w:szCs w:val="26"/>
              </w:rPr>
              <w:t>地址：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991" w:type="dxa"/>
            <w:noWrap w:val="0"/>
            <w:vAlign w:val="top"/>
          </w:tcPr>
          <w:p>
            <w:pPr>
              <w:pStyle w:val="11"/>
              <w:spacing w:before="244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邮编：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pStyle w:val="11"/>
              <w:spacing w:before="244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邮编：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pStyle w:val="11"/>
              <w:spacing w:before="244" w:line="219" w:lineRule="auto"/>
              <w:ind w:left="10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邮编：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2991" w:type="dxa"/>
            <w:noWrap w:val="0"/>
            <w:vAlign w:val="top"/>
          </w:tcPr>
          <w:p>
            <w:pPr>
              <w:pStyle w:val="11"/>
              <w:spacing w:before="196" w:line="320" w:lineRule="auto"/>
              <w:ind w:left="113" w:right="264" w:hanging="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  <w:lang w:eastAsia="zh-CN"/>
              </w:rPr>
              <w:t>(签字或盖章):</w:t>
            </w:r>
            <w:r>
              <w:rPr>
                <w:rFonts w:hint="eastAsia" w:ascii="仿宋" w:hAnsi="仿宋" w:eastAsia="仿宋" w:cs="仿宋"/>
                <w:spacing w:val="42"/>
                <w:sz w:val="26"/>
                <w:szCs w:val="26"/>
                <w:lang w:eastAsia="zh-CN"/>
              </w:rPr>
              <w:t xml:space="preserve">  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pStyle w:val="11"/>
              <w:spacing w:before="195" w:line="333" w:lineRule="auto"/>
              <w:ind w:left="20" w:right="161" w:firstLine="73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(签字或盖章)</w:t>
            </w:r>
            <w:r>
              <w:rPr>
                <w:rFonts w:hint="eastAsia" w:ascii="仿宋" w:hAnsi="仿宋" w:eastAsia="仿宋" w:cs="仿宋"/>
                <w:spacing w:val="-6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: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pStyle w:val="11"/>
              <w:spacing w:before="266" w:line="292" w:lineRule="auto"/>
              <w:ind w:right="632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</w:rPr>
              <w:t>(签字或盖章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991" w:type="dxa"/>
            <w:noWrap w:val="0"/>
            <w:vAlign w:val="top"/>
          </w:tcPr>
          <w:p>
            <w:pPr>
              <w:pStyle w:val="11"/>
              <w:spacing w:before="24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电话：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pStyle w:val="11"/>
              <w:spacing w:before="24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pStyle w:val="11"/>
              <w:spacing w:before="240" w:line="221" w:lineRule="auto"/>
              <w:ind w:left="13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991" w:type="dxa"/>
            <w:noWrap w:val="0"/>
            <w:vAlign w:val="top"/>
          </w:tcPr>
          <w:p>
            <w:pPr>
              <w:pStyle w:val="11"/>
              <w:spacing w:before="166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传真：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pStyle w:val="11"/>
              <w:spacing w:before="166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pStyle w:val="11"/>
              <w:spacing w:before="166" w:line="219" w:lineRule="auto"/>
              <w:ind w:left="9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991" w:type="dxa"/>
            <w:noWrap w:val="0"/>
            <w:vAlign w:val="top"/>
          </w:tcPr>
          <w:p>
            <w:pPr>
              <w:pStyle w:val="11"/>
              <w:spacing w:before="198" w:line="220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开户银行：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pStyle w:val="11"/>
              <w:spacing w:before="199" w:line="259" w:lineRule="auto"/>
              <w:ind w:left="133" w:hanging="10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1"/>
                <w:sz w:val="26"/>
                <w:szCs w:val="26"/>
              </w:rPr>
              <w:t>开户银行：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991" w:type="dxa"/>
            <w:noWrap w:val="0"/>
            <w:vAlign w:val="top"/>
          </w:tcPr>
          <w:p>
            <w:pPr>
              <w:pStyle w:val="11"/>
              <w:spacing w:before="17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账号：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pStyle w:val="11"/>
              <w:spacing w:before="15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账号：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868" w:type="dxa"/>
            <w:gridSpan w:val="2"/>
            <w:noWrap w:val="0"/>
            <w:vAlign w:val="top"/>
          </w:tcPr>
          <w:p>
            <w:pPr>
              <w:pStyle w:val="11"/>
              <w:spacing w:before="109" w:line="389" w:lineRule="exact"/>
              <w:ind w:left="219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9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2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47"/>
                <w:position w:val="-2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1"/>
                <w:sz w:val="26"/>
                <w:szCs w:val="26"/>
              </w:rPr>
              <w:t>日</w:t>
            </w:r>
          </w:p>
        </w:tc>
        <w:tc>
          <w:tcPr>
            <w:tcW w:w="2881" w:type="dxa"/>
            <w:noWrap w:val="0"/>
            <w:vAlign w:val="top"/>
          </w:tcPr>
          <w:p>
            <w:pPr>
              <w:pStyle w:val="11"/>
              <w:spacing w:before="157" w:line="221" w:lineRule="auto"/>
              <w:ind w:left="84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8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position w:val="1"/>
                <w:sz w:val="26"/>
                <w:szCs w:val="26"/>
              </w:rPr>
              <w:t>日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szCs w:val="21"/>
        </w:rPr>
        <w:sectPr>
          <w:footerReference r:id="rId5" w:type="default"/>
          <w:pgSz w:w="11900" w:h="16840"/>
          <w:pgMar w:top="1379" w:right="1655" w:bottom="993" w:left="1440" w:header="0" w:footer="837" w:gutter="0"/>
          <w:cols w:space="720" w:num="1"/>
        </w:sectPr>
      </w:pPr>
    </w:p>
    <w:p>
      <w:pPr>
        <w:pStyle w:val="2"/>
        <w:spacing w:before="46" w:line="220" w:lineRule="auto"/>
        <w:ind w:firstLine="442" w:firstLineChars="200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设备清单：</w:t>
      </w:r>
    </w:p>
    <w:sectPr>
      <w:footerReference r:id="rId6" w:type="default"/>
      <w:pgSz w:w="11900" w:h="16840"/>
      <w:pgMar w:top="1284" w:right="1219" w:bottom="1068" w:left="654" w:header="0" w:footer="87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24" w:lineRule="auto"/>
      <w:ind w:left="4579"/>
      <w:rPr>
        <w:sz w:val="12"/>
        <w:szCs w:val="12"/>
      </w:rPr>
    </w:pPr>
    <w:r>
      <w:rPr>
        <w:spacing w:val="-2"/>
        <w:sz w:val="12"/>
        <w:szCs w:val="12"/>
      </w:rPr>
      <w:t>—6—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27" w:lineRule="auto"/>
      <w:ind w:left="4915"/>
      <w:rPr>
        <w:sz w:val="15"/>
        <w:szCs w:val="15"/>
      </w:rPr>
    </w:pPr>
    <w:r>
      <w:rPr>
        <w:spacing w:val="-4"/>
        <w:w w:val="60"/>
        <w:sz w:val="15"/>
        <w:szCs w:val="15"/>
      </w:rPr>
      <w:t>—</w:t>
    </w:r>
    <w:r>
      <w:rPr>
        <w:spacing w:val="-9"/>
        <w:w w:val="94"/>
        <w:sz w:val="15"/>
        <w:szCs w:val="15"/>
      </w:rPr>
      <w:t>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1B0F7"/>
    <w:multiLevelType w:val="singleLevel"/>
    <w:tmpl w:val="4391B0F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500"/>
  <w:hyphenationZone w:val="36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27F93"/>
    <w:rsid w:val="1BC70C98"/>
    <w:rsid w:val="3925781E"/>
    <w:rsid w:val="3AC876A4"/>
    <w:rsid w:val="4262323F"/>
    <w:rsid w:val="43440FD3"/>
    <w:rsid w:val="45C5371B"/>
    <w:rsid w:val="56414E2F"/>
    <w:rsid w:val="5CF86B15"/>
    <w:rsid w:val="629B5681"/>
    <w:rsid w:val="6A253463"/>
    <w:rsid w:val="7B9278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paragraph" w:styleId="3">
    <w:name w:val="Body Text Indent"/>
    <w:basedOn w:val="1"/>
    <w:next w:val="4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2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7">
    <w:name w:val="Body Text First Indent 2"/>
    <w:basedOn w:val="3"/>
    <w:next w:val="6"/>
    <w:unhideWhenUsed/>
    <w:qFormat/>
    <w:uiPriority w:val="99"/>
    <w:pPr>
      <w:ind w:firstLine="420" w:firstLineChars="200"/>
    </w:p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2448</Words>
  <Characters>2485</Characters>
  <TotalTime>84</TotalTime>
  <ScaleCrop>false</ScaleCrop>
  <LinksUpToDate>false</LinksUpToDate>
  <CharactersWithSpaces>2646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2025-06-17T09:16:00Z</dcterms:created>
  <dc:creator>Administrator</dc:creator>
  <cp:lastModifiedBy> </cp:lastModifiedBy>
  <dcterms:modified xsi:type="dcterms:W3CDTF">2025-08-13T08:26:54Z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2025-06-17T09:16:16Z</vt:filetime>
  </property>
  <property fmtid="{D5CDD505-2E9C-101B-9397-08002B2CF9AE}" pid="4" name="UsrData">
    <vt:lpwstr>6850c1da0367e8001f8e58d2wl</vt:lpwstr>
  </property>
  <property fmtid="{D5CDD505-2E9C-101B-9397-08002B2CF9AE}" pid="5" name="KSOTemplateDocerSaveRecord">
    <vt:lpwstr>eyJoZGlkIjoiZDcyYzI3Nzg5MGU5NzA2YmE0NjM1YTdjMGI3OGU1MzQiLCJ1c2VySWQiOiIxOTgwMzQ2MzUifQ==</vt:lpwstr>
  </property>
  <property fmtid="{D5CDD505-2E9C-101B-9397-08002B2CF9AE}" pid="6" name="KSOProductBuildVer">
    <vt:lpwstr>2052-11.1.0.11045</vt:lpwstr>
  </property>
  <property fmtid="{D5CDD505-2E9C-101B-9397-08002B2CF9AE}" pid="7" name="ICV">
    <vt:lpwstr>28E7371D876049C39AA216DFF43DDEB1_13</vt:lpwstr>
  </property>
</Properties>
</file>