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版本号：YAZBTC2025-02420250825001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自愿缴存归集扩面系统建设项目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YAZBTC2025-024</w:t>
      </w:r>
      <w:r>
        <w:br/>
      </w:r>
      <w:r>
        <w:br/>
      </w:r>
      <w:r>
        <w:br/>
      </w:r>
    </w:p>
    <w:p>
      <w:pPr>
        <w:pStyle w:val="null3"/>
        <w:jc w:val="center"/>
        <w:outlineLvl w:val="2"/>
      </w:pPr>
      <w:r>
        <w:rPr>
          <w:rFonts w:ascii="仿宋_GB2312" w:hAnsi="仿宋_GB2312" w:cs="仿宋_GB2312" w:eastAsia="仿宋_GB2312"/>
          <w:sz w:val="28"/>
          <w:b/>
        </w:rPr>
        <w:t>铜川市住房公积金管理中心</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铜川市住房公积金管理中心</w:t>
      </w:r>
      <w:r>
        <w:rPr>
          <w:rFonts w:ascii="仿宋_GB2312" w:hAnsi="仿宋_GB2312" w:cs="仿宋_GB2312" w:eastAsia="仿宋_GB2312"/>
        </w:rPr>
        <w:t>委托，拟对</w:t>
      </w:r>
      <w:r>
        <w:rPr>
          <w:rFonts w:ascii="仿宋_GB2312" w:hAnsi="仿宋_GB2312" w:cs="仿宋_GB2312" w:eastAsia="仿宋_GB2312"/>
        </w:rPr>
        <w:t>自愿缴存归集扩面系统建设项目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YAZBTC2025-024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自愿缴存归集扩面系统建设项目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自愿缴存系统是针对灵活就业人员特征构建相对独立的系统,与当前核心业务系统统一身份认证、同步职工账户,具备“线上自主、宽进宽出、双轨并行、单轨汇缴、多缴多贷”特点,实现自愿缴存体系与制度缴存体系“双轨制”运行,从而推动扩大公积金普惠政策覆盖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 家规定的相关证明。</w:t>
      </w:r>
    </w:p>
    <w:p>
      <w:pPr>
        <w:pStyle w:val="null3"/>
      </w:pPr>
      <w:r>
        <w:rPr>
          <w:rFonts w:ascii="仿宋_GB2312" w:hAnsi="仿宋_GB2312" w:cs="仿宋_GB2312" w:eastAsia="仿宋_GB2312"/>
        </w:rPr>
        <w:t>2、具有健全的财务会计制度：提供具有财务审计资质单位出具的2024年度财务报告或递交磋商响应文件前六个月内其基本账户银行出具的资信证明或政府采购信用担保机构出具的投标担保函。</w:t>
      </w:r>
    </w:p>
    <w:p>
      <w:pPr>
        <w:pStyle w:val="null3"/>
      </w:pPr>
      <w:r>
        <w:rPr>
          <w:rFonts w:ascii="仿宋_GB2312" w:hAnsi="仿宋_GB2312" w:cs="仿宋_GB2312" w:eastAsia="仿宋_GB2312"/>
        </w:rPr>
        <w:t>3、依法缴纳税收和社会保障资金证明：依法缴纳税收和社会保障资金提供2025年任意2个月缴纳证明（无需缴纳提供相应证明文件）。</w:t>
      </w:r>
    </w:p>
    <w:p>
      <w:pPr>
        <w:pStyle w:val="null3"/>
      </w:pPr>
      <w:r>
        <w:rPr>
          <w:rFonts w:ascii="仿宋_GB2312" w:hAnsi="仿宋_GB2312" w:cs="仿宋_GB2312" w:eastAsia="仿宋_GB2312"/>
        </w:rPr>
        <w:t>4、法定代表人证明书或法定代表人授权书：法定代表人参加投标的，须提供法人身份证明书，法定代表人授权他人参加投标的，须提供法定代表 人授权委托书（附法定代表人、被授权人身份证复印件及授权人近三个月社保缴纳证明）</w:t>
      </w:r>
    </w:p>
    <w:p>
      <w:pPr>
        <w:pStyle w:val="null3"/>
      </w:pPr>
      <w:r>
        <w:rPr>
          <w:rFonts w:ascii="仿宋_GB2312" w:hAnsi="仿宋_GB2312" w:cs="仿宋_GB2312" w:eastAsia="仿宋_GB2312"/>
        </w:rPr>
        <w:t>5、具有良好的商业信誉：供应商不得为“信用中国(www.creditchina.gov.cn)”中列入重大税收违法失信主体、严重失信主体 名单及政府采购严重违法失信行为记录名单查询的供应商；不得在“中国执行信息公开网 (http://zxgk.court.gov.cn)”被列为失信被执行人；不得为“中国政府采购网(www.ccgp.gov.cn)”政府采购严重违法失信行为记录名单中被财政部门禁止参加政府采购活动的供应商；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6、说明及承诺：提供具有履行本合同所必需的设备和专业技术能力的说明及承诺</w:t>
      </w:r>
    </w:p>
    <w:p>
      <w:pPr>
        <w:pStyle w:val="null3"/>
      </w:pPr>
      <w:r>
        <w:rPr>
          <w:rFonts w:ascii="仿宋_GB2312" w:hAnsi="仿宋_GB2312" w:cs="仿宋_GB2312" w:eastAsia="仿宋_GB2312"/>
        </w:rPr>
        <w:t>7、书面声明：提供参加政府采购活动近三年内在经营活动中没有重大违法记录的书面声明。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新区华原东道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铜川市住房公积金管理中心经办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3286298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 》的通知（计价格〔2002〕1980号）《国家发展和改革委员会办公厅关于招标代理服务收费 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铜川市住房公积金管理中心</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铜川市住房公积金管理中心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自愿缴存系统是针对灵活就业人员特征构建相对独立的系统,与当前核心业务系统统一身份认证、同步职工账户,具备“线上自主、宽进宽出、双轨并行、单轨汇缴、多缴多贷”特点,实现自愿缴存体系与制度缴存体系“双轨制”运行,从而推动扩大公积金普惠政策覆盖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759,500.00</w:t>
      </w:r>
    </w:p>
    <w:p>
      <w:pPr>
        <w:pStyle w:val="null3"/>
      </w:pPr>
      <w:r>
        <w:rPr>
          <w:rFonts w:ascii="仿宋_GB2312" w:hAnsi="仿宋_GB2312" w:cs="仿宋_GB2312" w:eastAsia="仿宋_GB2312"/>
        </w:rPr>
        <w:t>采购包最高限价（元）: 759,500.00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759500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标的名称：759500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11"/>
              <w:gridCol w:w="537"/>
              <w:gridCol w:w="2015"/>
              <w:gridCol w:w="111"/>
              <w:gridCol w:w="111"/>
            </w:tblGrid>
            <w:tr>
              <w:tc>
                <w:tcPr>
                  <w:tcW w:type="dxa" w:w="4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建设项</w:t>
                  </w:r>
                </w:p>
              </w:tc>
              <w:tc>
                <w:tcPr>
                  <w:tcW w:type="dxa" w:w="5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系统（设备）名称</w:t>
                  </w:r>
                </w:p>
              </w:tc>
              <w:tc>
                <w:tcPr>
                  <w:tcW w:type="dxa" w:w="201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建设内容及参数</w:t>
                  </w:r>
                </w:p>
              </w:tc>
              <w:tc>
                <w:tcPr>
                  <w:tcW w:type="dxa" w:w="1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计量</w:t>
                  </w:r>
                </w:p>
              </w:tc>
              <w:tc>
                <w:tcPr>
                  <w:tcW w:type="dxa" w:w="1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r>
            <w:tr>
              <w:tc>
                <w:tcPr>
                  <w:tcW w:type="dxa" w:w="411"/>
                  <w:vMerge/>
                  <w:tcBorders>
                    <w:top w:val="single" w:color="000000" w:sz="4"/>
                    <w:left w:val="single" w:color="000000" w:sz="4"/>
                    <w:bottom w:val="single" w:color="000000" w:sz="4"/>
                    <w:right w:val="single" w:color="000000" w:sz="4"/>
                  </w:tcBorders>
                </w:tcPr>
                <w:p/>
              </w:tc>
              <w:tc>
                <w:tcPr>
                  <w:tcW w:type="dxa" w:w="537"/>
                  <w:vMerge/>
                  <w:tcBorders>
                    <w:top w:val="single" w:color="000000" w:sz="4"/>
                    <w:left w:val="single" w:color="000000" w:sz="4"/>
                    <w:bottom w:val="single" w:color="000000" w:sz="4"/>
                    <w:right w:val="single" w:color="000000" w:sz="4"/>
                  </w:tcBorders>
                </w:tcPr>
                <w:p/>
              </w:tc>
              <w:tc>
                <w:tcPr>
                  <w:tcW w:type="dxa" w:w="2015"/>
                  <w:vMerge/>
                  <w:tcBorders>
                    <w:top w:val="single" w:color="000000" w:sz="4"/>
                    <w:left w:val="single" w:color="000000" w:sz="4"/>
                    <w:bottom w:val="single" w:color="000000" w:sz="4"/>
                    <w:right w:val="single" w:color="000000" w:sz="4"/>
                  </w:tcBorders>
                </w:tcPr>
                <w:p/>
              </w:tc>
              <w:tc>
                <w:tcPr>
                  <w:tcW w:type="dxa" w:w="111"/>
                  <w:vMerge/>
                  <w:tcBorders>
                    <w:top w:val="single" w:color="000000" w:sz="4"/>
                    <w:left w:val="single" w:color="000000" w:sz="4"/>
                    <w:bottom w:val="single" w:color="000000" w:sz="4"/>
                    <w:right w:val="single" w:color="000000" w:sz="4"/>
                  </w:tcBorders>
                </w:tcPr>
                <w:p/>
              </w:tc>
              <w:tc>
                <w:tcPr>
                  <w:tcW w:type="dxa" w:w="111"/>
                  <w:vMerge/>
                  <w:tcBorders>
                    <w:top w:val="single" w:color="000000" w:sz="4"/>
                    <w:left w:val="single" w:color="000000" w:sz="4"/>
                    <w:bottom w:val="single" w:color="000000" w:sz="4"/>
                    <w:right w:val="single" w:color="000000" w:sz="4"/>
                  </w:tcBorders>
                </w:tcPr>
                <w:p/>
              </w:tc>
            </w:tr>
            <w:tr>
              <w:tc>
                <w:tcPr>
                  <w:tcW w:type="dxa" w:w="411"/>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自愿缴存归集扩面系统</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自愿缴存系统</w:t>
                  </w:r>
                </w:p>
              </w:tc>
              <w:tc>
                <w:tcPr>
                  <w:tcW w:type="dxa" w:w="20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针对灵活就业人员特征构建相对独立的系统，与当前核心业务系统统一身份认证、同步职工账户，具备“线上自主、宽进宽出、双轨并行、单轨汇缴、多缴多贷”特点，实现自愿缴存体系与制度缴存体系“双轨制”运行。系统具备以下功能：</w:t>
                  </w:r>
                  <w:r>
                    <w:br/>
                  </w:r>
                  <w:r>
                    <w:rPr>
                      <w:rFonts w:ascii="仿宋_GB2312" w:hAnsi="仿宋_GB2312" w:cs="仿宋_GB2312" w:eastAsia="仿宋_GB2312"/>
                      <w:sz w:val="22"/>
                      <w:color w:val="000000"/>
                    </w:rPr>
                    <w:t>1.灵活就业人员缴存登记。为灵活就业人员提供个人账户设立办理。</w:t>
                  </w:r>
                  <w:r>
                    <w:br/>
                  </w:r>
                  <w:r>
                    <w:rPr>
                      <w:rFonts w:ascii="仿宋_GB2312" w:hAnsi="仿宋_GB2312" w:cs="仿宋_GB2312" w:eastAsia="仿宋_GB2312"/>
                      <w:sz w:val="22"/>
                      <w:color w:val="000000"/>
                    </w:rPr>
                    <w:t xml:space="preserve"> 2.灵活就业人员缴存托收。自愿缴存者通过手机公积金或中心柜台办理签约或解约委托扣款业务。</w:t>
                  </w:r>
                  <w:r>
                    <w:br/>
                  </w:r>
                  <w:r>
                    <w:rPr>
                      <w:rFonts w:ascii="仿宋_GB2312" w:hAnsi="仿宋_GB2312" w:cs="仿宋_GB2312" w:eastAsia="仿宋_GB2312"/>
                      <w:sz w:val="22"/>
                      <w:color w:val="000000"/>
                    </w:rPr>
                    <w:t xml:space="preserve"> 3.灵活就业人员缴存信息变更。变更灵活就业人员账户中绑定手机号、绑定银行卡号等信息。</w:t>
                  </w:r>
                  <w:r>
                    <w:br/>
                  </w:r>
                  <w:r>
                    <w:rPr>
                      <w:rFonts w:ascii="仿宋_GB2312" w:hAnsi="仿宋_GB2312" w:cs="仿宋_GB2312" w:eastAsia="仿宋_GB2312"/>
                      <w:sz w:val="22"/>
                      <w:color w:val="000000"/>
                    </w:rPr>
                    <w:t xml:space="preserve"> 4.灵活就业人员缴存状态变更。可以对封存状态账户进行启封。</w:t>
                  </w:r>
                  <w:r>
                    <w:br/>
                  </w:r>
                  <w:r>
                    <w:rPr>
                      <w:rFonts w:ascii="仿宋_GB2312" w:hAnsi="仿宋_GB2312" w:cs="仿宋_GB2312" w:eastAsia="仿宋_GB2312"/>
                      <w:sz w:val="22"/>
                      <w:color w:val="000000"/>
                    </w:rPr>
                    <w:t xml:space="preserve"> 5.灵活就业人员缴存信息查询。可以对灵活就业人员包括姓名、身份证号、住房公积金账号、手机号、缴存银行网点、所属分中心、归集银行、银行卡号、账户余额、开户时间、缴至年月、缴存方式、缴存额、账户状态、是否贷款、累计提取金额等缴存信息进行查询。</w:t>
                  </w:r>
                  <w:r>
                    <w:br/>
                  </w:r>
                  <w:r>
                    <w:rPr>
                      <w:rFonts w:ascii="仿宋_GB2312" w:hAnsi="仿宋_GB2312" w:cs="仿宋_GB2312" w:eastAsia="仿宋_GB2312"/>
                      <w:sz w:val="22"/>
                      <w:color w:val="000000"/>
                    </w:rPr>
                    <w:t xml:space="preserve"> 6.灵活就业人员缴存明细查询。可以对灵活就业人员业务流水数据进行统计查询。</w:t>
                  </w:r>
                  <w:r>
                    <w:br/>
                  </w:r>
                  <w:r>
                    <w:rPr>
                      <w:rFonts w:ascii="仿宋_GB2312" w:hAnsi="仿宋_GB2312" w:cs="仿宋_GB2312" w:eastAsia="仿宋_GB2312"/>
                      <w:sz w:val="22"/>
                      <w:color w:val="000000"/>
                    </w:rPr>
                    <w:t xml:space="preserve"> 7.灵活就业人员缴存基数调整。允许灵活就业人员调整个人缴存基数。</w:t>
                  </w:r>
                  <w:r>
                    <w:br/>
                  </w:r>
                  <w:r>
                    <w:rPr>
                      <w:rFonts w:ascii="仿宋_GB2312" w:hAnsi="仿宋_GB2312" w:cs="仿宋_GB2312" w:eastAsia="仿宋_GB2312"/>
                      <w:sz w:val="22"/>
                      <w:color w:val="000000"/>
                    </w:rPr>
                    <w:t xml:space="preserve"> 8.灵活就业人员缴存比例调整。允许灵活就业人员调整个人缴存比例。</w:t>
                  </w:r>
                  <w:r>
                    <w:br/>
                  </w:r>
                  <w:r>
                    <w:rPr>
                      <w:rFonts w:ascii="仿宋_GB2312" w:hAnsi="仿宋_GB2312" w:cs="仿宋_GB2312" w:eastAsia="仿宋_GB2312"/>
                      <w:sz w:val="22"/>
                      <w:color w:val="000000"/>
                    </w:rPr>
                    <w:t xml:space="preserve"> 9.灵活就业人员续缴。允许灵活就业人员通过网厅及柜台办理续缴登记，自动生成住房公积金续缴通知书。</w:t>
                  </w:r>
                  <w:r>
                    <w:br/>
                  </w:r>
                  <w:r>
                    <w:rPr>
                      <w:rFonts w:ascii="仿宋_GB2312" w:hAnsi="仿宋_GB2312" w:cs="仿宋_GB2312" w:eastAsia="仿宋_GB2312"/>
                      <w:sz w:val="22"/>
                      <w:color w:val="000000"/>
                    </w:rPr>
                    <w:t xml:space="preserve"> 10.灵活就业人员停缴。允许灵活就业人员申请办理停缴住房公积金。</w:t>
                  </w:r>
                  <w:r>
                    <w:br/>
                  </w:r>
                  <w:r>
                    <w:rPr>
                      <w:rFonts w:ascii="仿宋_GB2312" w:hAnsi="仿宋_GB2312" w:cs="仿宋_GB2312" w:eastAsia="仿宋_GB2312"/>
                      <w:sz w:val="22"/>
                      <w:color w:val="000000"/>
                    </w:rPr>
                    <w:t xml:space="preserve"> 11.灵活就业人员提取。按照业务政策规定，允许灵活就业人员申请提取使用本人的住房公积金个人账户余额。</w:t>
                  </w:r>
                  <w:r>
                    <w:br/>
                  </w:r>
                  <w:r>
                    <w:rPr>
                      <w:rFonts w:ascii="仿宋_GB2312" w:hAnsi="仿宋_GB2312" w:cs="仿宋_GB2312" w:eastAsia="仿宋_GB2312"/>
                      <w:sz w:val="22"/>
                      <w:color w:val="000000"/>
                    </w:rPr>
                    <w:t xml:space="preserve"> 12.灵活就业人员贷款。按照业务政策规定，允许灵活就业人员申请住房公积金贷款，并体现多存多贷的原则。</w:t>
                  </w:r>
                  <w:r>
                    <w:br/>
                  </w:r>
                  <w:r>
                    <w:rPr>
                      <w:rFonts w:ascii="仿宋_GB2312" w:hAnsi="仿宋_GB2312" w:cs="仿宋_GB2312" w:eastAsia="仿宋_GB2312"/>
                      <w:sz w:val="22"/>
                      <w:color w:val="000000"/>
                    </w:rPr>
                    <w:t xml:space="preserve"> 13.综合服务渠道扩展。进行包括手机公积金 APP、微信、个人网厅等线上渠道的应用服务对接及适配改造。</w:t>
                  </w:r>
                  <w:r>
                    <w:br/>
                  </w:r>
                  <w:r>
                    <w:rPr>
                      <w:rFonts w:ascii="仿宋_GB2312" w:hAnsi="仿宋_GB2312" w:cs="仿宋_GB2312" w:eastAsia="仿宋_GB2312"/>
                      <w:sz w:val="22"/>
                      <w:color w:val="000000"/>
                    </w:rPr>
                    <w:t xml:space="preserve"> 14.核心业务系统接口对接改造。进行包括住建部结算应用系统、住建部数据上报平台、住建部异地转移接续平台等对接工作。</w:t>
                  </w:r>
                  <w:r>
                    <w:br/>
                  </w:r>
                  <w:r>
                    <w:rPr>
                      <w:rFonts w:ascii="仿宋_GB2312" w:hAnsi="仿宋_GB2312" w:cs="仿宋_GB2312" w:eastAsia="仿宋_GB2312"/>
                      <w:sz w:val="22"/>
                      <w:color w:val="000000"/>
                    </w:rPr>
                    <w:t xml:space="preserve"> 15.住建部结算应用系统对接改造。进行住建部结算应用系统对接，完成个人托收业务的接口测试，账户变动通知、银行账户信息推送等对接改造。</w:t>
                  </w:r>
                  <w:r>
                    <w:br/>
                  </w:r>
                  <w:r>
                    <w:rPr>
                      <w:rFonts w:ascii="仿宋_GB2312" w:hAnsi="仿宋_GB2312" w:cs="仿宋_GB2312" w:eastAsia="仿宋_GB2312"/>
                      <w:sz w:val="22"/>
                      <w:color w:val="000000"/>
                    </w:rPr>
                    <w:t xml:space="preserve"> 16.住建部数据上报平台对接改造。进行住建部数据上报平台对接，完成灵活就业人员数据采集、通讯交易、数据查询、数据上报等。</w:t>
                  </w:r>
                  <w:r>
                    <w:br/>
                  </w:r>
                  <w:r>
                    <w:rPr>
                      <w:rFonts w:ascii="仿宋_GB2312" w:hAnsi="仿宋_GB2312" w:cs="仿宋_GB2312" w:eastAsia="仿宋_GB2312"/>
                      <w:sz w:val="22"/>
                      <w:color w:val="000000"/>
                    </w:rPr>
                    <w:t xml:space="preserve"> 17.住建部异地转移接续平台对接改造。针对住建部异地转移接续平台转入、转出等业务，完成系统相应改造。</w:t>
                  </w:r>
                  <w:r>
                    <w:br/>
                  </w:r>
                  <w:r>
                    <w:rPr>
                      <w:rFonts w:ascii="仿宋_GB2312" w:hAnsi="仿宋_GB2312" w:cs="仿宋_GB2312" w:eastAsia="仿宋_GB2312"/>
                      <w:sz w:val="22"/>
                      <w:color w:val="000000"/>
                    </w:rPr>
                    <w:t xml:space="preserve"> 18.信创适配。需要与国产所有芯片厂商、操作系统、服务器、数据库和中间件的各类产品进行适配。</w:t>
                  </w:r>
                </w:p>
              </w:tc>
              <w:tc>
                <w:tcPr>
                  <w:tcW w:type="dxa" w:w="1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11"/>
                  <w:vMerge/>
                  <w:tcBorders>
                    <w:top w:val="single" w:color="000000" w:sz="4"/>
                    <w:left w:val="single" w:color="000000" w:sz="4"/>
                    <w:bottom w:val="none" w:color="000000" w:sz="4"/>
                    <w:right w:val="single" w:color="000000" w:sz="4"/>
                  </w:tcBorders>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用户数据服务系统</w:t>
                  </w:r>
                </w:p>
              </w:tc>
              <w:tc>
                <w:tcPr>
                  <w:tcW w:type="dxa" w:w="20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用户数据服务系统基于AI智能模型和大数据技术，通过多维度地剖析缴存单位、缴存职工等信息，满足业务服务需求，包括数据收集、行为分析、业务需求预测等功能。</w:t>
                  </w:r>
                  <w:r>
                    <w:br/>
                  </w:r>
                  <w:r>
                    <w:rPr>
                      <w:rFonts w:ascii="仿宋_GB2312" w:hAnsi="仿宋_GB2312" w:cs="仿宋_GB2312" w:eastAsia="仿宋_GB2312"/>
                      <w:sz w:val="22"/>
                      <w:color w:val="000000"/>
                    </w:rPr>
                    <w:t xml:space="preserve"> 1.数据收集</w:t>
                  </w:r>
                  <w:r>
                    <w:br/>
                  </w:r>
                  <w:r>
                    <w:rPr>
                      <w:rFonts w:ascii="仿宋_GB2312" w:hAnsi="仿宋_GB2312" w:cs="仿宋_GB2312" w:eastAsia="仿宋_GB2312"/>
                      <w:sz w:val="22"/>
                      <w:color w:val="000000"/>
                    </w:rPr>
                    <w:t xml:space="preserve"> 涵盖多个方面的数据采集功能，确保用户数据分析的全面性和准确性，包括基本属性采集、业务数据采集、协查数据采集、行为数据采集功能。</w:t>
                  </w:r>
                  <w:r>
                    <w:br/>
                  </w:r>
                  <w:r>
                    <w:rPr>
                      <w:rFonts w:ascii="仿宋_GB2312" w:hAnsi="仿宋_GB2312" w:cs="仿宋_GB2312" w:eastAsia="仿宋_GB2312"/>
                      <w:sz w:val="22"/>
                      <w:color w:val="000000"/>
                    </w:rPr>
                    <w:t xml:space="preserve"> 2.标签管理</w:t>
                  </w:r>
                  <w:r>
                    <w:br/>
                  </w:r>
                  <w:r>
                    <w:rPr>
                      <w:rFonts w:ascii="仿宋_GB2312" w:hAnsi="仿宋_GB2312" w:cs="仿宋_GB2312" w:eastAsia="仿宋_GB2312"/>
                      <w:sz w:val="22"/>
                      <w:color w:val="000000"/>
                    </w:rPr>
                    <w:t xml:space="preserve"> 涵盖一系列关键数据标签管理功能，确保用户数据标签的准确性、时效性和可用性，包括数据管理、标签体系管理功能。</w:t>
                  </w:r>
                  <w:r>
                    <w:br/>
                  </w:r>
                  <w:r>
                    <w:rPr>
                      <w:rFonts w:ascii="仿宋_GB2312" w:hAnsi="仿宋_GB2312" w:cs="仿宋_GB2312" w:eastAsia="仿宋_GB2312"/>
                      <w:sz w:val="22"/>
                      <w:color w:val="000000"/>
                    </w:rPr>
                    <w:t xml:space="preserve"> 3.用户需求分析预测</w:t>
                  </w:r>
                  <w:r>
                    <w:br/>
                  </w:r>
                  <w:r>
                    <w:rPr>
                      <w:rFonts w:ascii="仿宋_GB2312" w:hAnsi="仿宋_GB2312" w:cs="仿宋_GB2312" w:eastAsia="仿宋_GB2312"/>
                      <w:sz w:val="22"/>
                      <w:color w:val="000000"/>
                    </w:rPr>
                    <w:t xml:space="preserve"> 用户需求分析预测通过精细化的处理和分析，将原始的用户数据转化为直观、有用的数据标签，为后续的个性化服务和精准营销提供有力支持，包括标签呈现、标签分析、标签推荐、标签查询、标签更新、标签删除等功能。</w:t>
                  </w:r>
                  <w:r>
                    <w:br/>
                  </w:r>
                  <w:r>
                    <w:rPr>
                      <w:rFonts w:ascii="仿宋_GB2312" w:hAnsi="仿宋_GB2312" w:cs="仿宋_GB2312" w:eastAsia="仿宋_GB2312"/>
                      <w:sz w:val="22"/>
                      <w:color w:val="000000"/>
                    </w:rPr>
                    <w:t xml:space="preserve"> 4.信创适配。需要与国产所有芯片厂商、操作系统、服务器、数据库和中间件的各类产品进行适配。</w:t>
                  </w:r>
                </w:p>
              </w:tc>
              <w:tc>
                <w:tcPr>
                  <w:tcW w:type="dxa" w:w="1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411"/>
                  <w:vMerge/>
                  <w:tcBorders>
                    <w:top w:val="single" w:color="000000" w:sz="4"/>
                    <w:left w:val="single" w:color="000000" w:sz="4"/>
                    <w:bottom w:val="none" w:color="000000" w:sz="4"/>
                    <w:right w:val="single" w:color="000000" w:sz="4"/>
                  </w:tcBorders>
                </w:tcPr>
                <w:p/>
              </w:tc>
              <w:tc>
                <w:tcPr>
                  <w:tcW w:type="dxa" w:w="2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项目验收合格后，按照财政决算评审金额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递交磋商响应文件前六个月内其基本账户银行出具的资信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 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提供具有财务审计资质单位出具的2024年度财务报告或递交磋商响应文件前六个月内其基本账户银行出具的资信证明或政府采购信用担保机构出具的投标担保函。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依法缴纳税收和社会保障资金证明</w:t>
            </w:r>
          </w:p>
        </w:tc>
        <w:tc>
          <w:tcPr>
            <w:tcW w:type="dxa" w:w="3322"/>
          </w:tcPr>
          <w:p>
            <w:pPr>
              <w:pStyle w:val="null3"/>
            </w:pPr>
            <w:r>
              <w:rPr>
                <w:rFonts w:ascii="仿宋_GB2312" w:hAnsi="仿宋_GB2312" w:cs="仿宋_GB2312" w:eastAsia="仿宋_GB2312"/>
              </w:rPr>
              <w:t>依法缴纳税收和社会保障资金提供2025年任意2个月缴纳证明（无需缴纳提供相应证明文件）。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法定代表人参加投标的，须提供法人身份证明书，法定代表人授权他人参加投标的，须提供法定代表 人授权委托书（附法定代表人、被授权人身份证复印件及授权人近三个月社保缴纳证明）</w:t>
            </w:r>
          </w:p>
        </w:tc>
        <w:tc>
          <w:tcPr>
            <w:tcW w:type="dxa" w:w="1661"/>
          </w:tcPr>
          <w:p>
            <w:pPr>
              <w:pStyle w:val="null3"/>
            </w:pPr>
            <w:r>
              <w:rPr>
                <w:rFonts w:ascii="仿宋_GB2312" w:hAnsi="仿宋_GB2312" w:cs="仿宋_GB2312" w:eastAsia="仿宋_GB2312"/>
              </w:rPr>
              <w:t>法定代表人身份证明及授权委托书.docx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 名单及政府采购严重违法失信行为记录名单查询的供应商；不得在“中国执行信息公开网 (http://zxgk.court.gov.cn)”被列为失信被执行人；不得为“中国政府采购网(www.ccgp.gov.cn)”政府采购严重违法失信行为记录名单中被财政部门禁止参加政府采购活动的供应商；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提供参加政府采购活动近三年内在经营活动中没有重大违法记录的书面声明。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供应商认为需要提供的其他内容.docx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符合“磋商响应文件格式”的要求:按竞争性磋商交件规定格式填报了所有相关数据，字迹清晰可辨，并符合竞争性磋商文件其他规定。</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响应文件签字及盖章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响应文件构成是否有重大缺项，是否按照磋商文件要求的格式编写投标文件。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供应商认为需要提供的其他内容.docx 响应文件封面 法定代表人身份证明及授权委托书.docx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服务方案：包括但不限于对本项目的整体实施方案 、项目服务计划及成果交付保障方案、维护体系、维护流程，工作安排等。</w:t>
            </w:r>
          </w:p>
        </w:tc>
        <w:tc>
          <w:tcPr>
            <w:tcW w:type="dxa" w:w="2492"/>
          </w:tcPr>
          <w:p>
            <w:pPr>
              <w:pStyle w:val="null3"/>
            </w:pPr>
            <w:r>
              <w:rPr>
                <w:rFonts w:ascii="仿宋_GB2312" w:hAnsi="仿宋_GB2312" w:cs="仿宋_GB2312" w:eastAsia="仿宋_GB2312"/>
              </w:rPr>
              <w:t>1、服务方案全面，针对性强，具有较强可操作性，10～15分； 2、服务方案合理，针对性、可操作性一般，5～9分；3、服务方案不清晰，针对性、可操作性较差，1～4分；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质量保证措施：针对本项目制订质量保证措施</w:t>
            </w:r>
          </w:p>
        </w:tc>
        <w:tc>
          <w:tcPr>
            <w:tcW w:type="dxa" w:w="2492"/>
          </w:tcPr>
          <w:p>
            <w:pPr>
              <w:pStyle w:val="null3"/>
            </w:pPr>
            <w:r>
              <w:rPr>
                <w:rFonts w:ascii="仿宋_GB2312" w:hAnsi="仿宋_GB2312" w:cs="仿宋_GB2312" w:eastAsia="仿宋_GB2312"/>
              </w:rPr>
              <w:t>1、质量保证措施合理、全面，措施合理严谨、能够及时有效解决各类问题、提出高效稳妥处理突发事故的具体措施，技术支持完善周全10～15分； 2、质量保证措施合理，技术支持能够保证项目的基础需求，5～9分； 3、质量保证措施内容缺失或存在漏洞，1～4分；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供应商针对本项目提供故障突发事件的处理方案以及响应的时效性保证措施</w:t>
            </w:r>
          </w:p>
        </w:tc>
        <w:tc>
          <w:tcPr>
            <w:tcW w:type="dxa" w:w="2492"/>
          </w:tcPr>
          <w:p>
            <w:pPr>
              <w:pStyle w:val="null3"/>
            </w:pPr>
            <w:r>
              <w:rPr>
                <w:rFonts w:ascii="仿宋_GB2312" w:hAnsi="仿宋_GB2312" w:cs="仿宋_GB2312" w:eastAsia="仿宋_GB2312"/>
              </w:rPr>
              <w:t>1、方案全面，针对性强，具有较强可操作性，10～15分； 2、方案合理，针对性、可操作性一般，5～9分； 3、方案不清晰，针对性、可操作性较差，1～4分；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培训方案：列出详细的培训内容、培训方式、培训内容应涵盖日常操作与维护方法、故障排除等方面说明</w:t>
            </w:r>
          </w:p>
        </w:tc>
        <w:tc>
          <w:tcPr>
            <w:tcW w:type="dxa" w:w="2492"/>
          </w:tcPr>
          <w:p>
            <w:pPr>
              <w:pStyle w:val="null3"/>
            </w:pPr>
            <w:r>
              <w:rPr>
                <w:rFonts w:ascii="仿宋_GB2312" w:hAnsi="仿宋_GB2312" w:cs="仿宋_GB2312" w:eastAsia="仿宋_GB2312"/>
              </w:rPr>
              <w:t>1、方案科学、合理、可操作性高，10～15分； 2、方案娇合理、可操作性一般，5～9分； 3、方案模糊，合理性、可操作性较差，1～4分；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人员配备：投入本项目人员，服务团队分工明确，配置齐全</w:t>
            </w:r>
          </w:p>
        </w:tc>
        <w:tc>
          <w:tcPr>
            <w:tcW w:type="dxa" w:w="2492"/>
          </w:tcPr>
          <w:p>
            <w:pPr>
              <w:pStyle w:val="null3"/>
            </w:pPr>
            <w:r>
              <w:rPr>
                <w:rFonts w:ascii="仿宋_GB2312" w:hAnsi="仿宋_GB2312" w:cs="仿宋_GB2312" w:eastAsia="仿宋_GB2312"/>
              </w:rPr>
              <w:t>评标委员会根据人员配置的数量、职称、经验等方面，横向比较打分（1～10分）；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重点问题解决方案：根据现有重点难点问题，提出可操作性的对策建议。</w:t>
            </w:r>
          </w:p>
        </w:tc>
        <w:tc>
          <w:tcPr>
            <w:tcW w:type="dxa" w:w="2492"/>
          </w:tcPr>
          <w:p>
            <w:pPr>
              <w:pStyle w:val="null3"/>
            </w:pPr>
            <w:r>
              <w:rPr>
                <w:rFonts w:ascii="仿宋_GB2312" w:hAnsi="仿宋_GB2312" w:cs="仿宋_GB2312" w:eastAsia="仿宋_GB2312"/>
              </w:rPr>
              <w:t>1、方案总体思路清晰，内容全面，8～10分； 2、实施方案总体思路较清晰，涵盖内容较全面，5～7分； 3、实施方案总体思路不成熟，涵盖内容不够全面，1～4分；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项目服务承诺：针对本项目的相关服务承诺</w:t>
            </w:r>
          </w:p>
        </w:tc>
        <w:tc>
          <w:tcPr>
            <w:tcW w:type="dxa" w:w="2492"/>
          </w:tcPr>
          <w:p>
            <w:pPr>
              <w:pStyle w:val="null3"/>
            </w:pPr>
            <w:r>
              <w:rPr>
                <w:rFonts w:ascii="仿宋_GB2312" w:hAnsi="仿宋_GB2312" w:cs="仿宋_GB2312" w:eastAsia="仿宋_GB2312"/>
              </w:rPr>
              <w:t>针对本采购项目及采购人实际需求提供详细具体可行的服务措施承诺及详尽可行的其他增值服务承诺，并阐明可提供的咨询或后期服务内容，根据其响应及优劣程度计1-7分。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以合同或成交通知书的形式提供投标人近三年（2022年1月至今）的同类业绩</w:t>
            </w:r>
          </w:p>
        </w:tc>
        <w:tc>
          <w:tcPr>
            <w:tcW w:type="dxa" w:w="2492"/>
          </w:tcPr>
          <w:p>
            <w:pPr>
              <w:pStyle w:val="null3"/>
            </w:pPr>
            <w:r>
              <w:rPr>
                <w:rFonts w:ascii="仿宋_GB2312" w:hAnsi="仿宋_GB2312" w:cs="仿宋_GB2312" w:eastAsia="仿宋_GB2312"/>
              </w:rPr>
              <w:t>需提供合同或成交（中标）通知书，提供不全不得分，每一份计1分，计满3分为止；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