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版本号：JX-TC-2025-0320250827001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铜川市2025-2026年“洁净型煤+生物质”成型燃料及服务一体化采购项目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JX-TC-2025-03</w:t>
      </w:r>
      <w:r>
        <w:br/>
      </w:r>
      <w:r>
        <w:br/>
      </w:r>
      <w:r>
        <w:br/>
      </w:r>
    </w:p>
    <w:p>
      <w:pPr>
        <w:pStyle w:val="null3"/>
        <w:jc w:val="center"/>
        <w:outlineLvl w:val="2"/>
      </w:pPr>
      <w:r>
        <w:rPr>
          <w:rFonts w:ascii="仿宋_GB2312" w:hAnsi="仿宋_GB2312" w:cs="仿宋_GB2312" w:eastAsia="仿宋_GB2312"/>
          <w:sz w:val="28"/>
          <w:b/>
        </w:rPr>
        <w:t>铜川市发展和改革委员会</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铜川市发展和改革委员会</w:t>
      </w:r>
      <w:r>
        <w:rPr>
          <w:rFonts w:ascii="仿宋_GB2312" w:hAnsi="仿宋_GB2312" w:cs="仿宋_GB2312" w:eastAsia="仿宋_GB2312"/>
        </w:rPr>
        <w:t>委托，拟对</w:t>
      </w:r>
      <w:r>
        <w:rPr>
          <w:rFonts w:ascii="仿宋_GB2312" w:hAnsi="仿宋_GB2312" w:cs="仿宋_GB2312" w:eastAsia="仿宋_GB2312"/>
        </w:rPr>
        <w:t>铜川市2025-2026年“洁净型煤+生物质”成型燃料及服务一体化采购项目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JX-TC-2025-03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铜川市2025-2026年“洁净型煤+生物质”成型燃料及服务一体化采购项目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2025-2026年“洁净型煤+生物质”成型燃料及服务一体化采购，其中洁净煤补助户数6569户，生物质620户，补助金额为600元/户/采暖季。</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采购包1（铜川市2025-2026年“洁净型煤+生物质”成型燃料及服务一体化采购项目）：属于专门面向中小企业采购。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rFonts w:ascii="仿宋_GB2312" w:hAnsi="仿宋_GB2312" w:cs="仿宋_GB2312" w:eastAsia="仿宋_GB2312"/>
        </w:rPr>
        <w:t>2、具有履行合同所必需的设备和专业技术能力：供应商须提供具有履行合同所必需的设备和专业技术能力的承诺（格式自拟）；供应商需在项目电子化交易系统中按要求上传相应证明文件并进行电子签章。</w:t>
      </w:r>
    </w:p>
    <w:p>
      <w:pPr>
        <w:pStyle w:val="null3"/>
      </w:pPr>
      <w:r>
        <w:rPr>
          <w:rFonts w:ascii="仿宋_GB2312" w:hAnsi="仿宋_GB2312" w:cs="仿宋_GB2312" w:eastAsia="仿宋_GB2312"/>
        </w:rPr>
        <w:t>3、具有依法缴纳税收和社会保障资金的良好记录：提供已缴纳的2025年1月至今任意一个月的完税证明，完税证明上需有代收机构或税务机关的公章或业务专用章，未欠税或免税的供应商应提供相关文件证明。提供已缴存的2025年1月至今任意一个月的完税证明或社保机构开具的社会保险参保缴费情况证明，完税证明或社保机构开具的社会保险参保缴费情况证明上需有代收机构或税务机关的公章或业务专用章。依法不需要缴纳社会保障资金、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5、法人身份证明或法人授权书：法定代表人参加投标的提供法定代表人身份证明 ，委托代理人参加投标的提供授权委托书； 自然人只需提供身份证证明；备注：分支机构由分支机构负责人授权即可；供应商需在项目电子化交易系统中按要求上传相应证明文件并进行电子签章。</w:t>
      </w:r>
    </w:p>
    <w:p>
      <w:pPr>
        <w:pStyle w:val="null3"/>
      </w:pPr>
      <w:r>
        <w:rPr>
          <w:rFonts w:ascii="仿宋_GB2312" w:hAnsi="仿宋_GB2312" w:cs="仿宋_GB2312" w:eastAsia="仿宋_GB2312"/>
        </w:rPr>
        <w:t>6、诚信资格要求：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13909196550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18161791282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的标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铜川市发展和改革委员会</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铜川市发展和改革委员会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联系人：李伟</w:t>
      </w:r>
    </w:p>
    <w:p>
      <w:pPr>
        <w:pStyle w:val="null3"/>
      </w:pPr>
      <w:r>
        <w:rPr>
          <w:rFonts w:ascii="仿宋_GB2312" w:hAnsi="仿宋_GB2312" w:cs="仿宋_GB2312" w:eastAsia="仿宋_GB2312"/>
        </w:rPr>
        <w:t>联系电话：18161791282</w:t>
      </w:r>
    </w:p>
    <w:p>
      <w:pPr>
        <w:pStyle w:val="null3"/>
      </w:pPr>
      <w:r>
        <w:rPr>
          <w:rFonts w:ascii="仿宋_GB2312" w:hAnsi="仿宋_GB2312" w:cs="仿宋_GB2312" w:eastAsia="仿宋_GB2312"/>
        </w:rPr>
        <w:t>地址：陕西省西安市碑林区陕西省西安市碑林区南二环路79号广丰国际大厦II区906室</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铜川市2025-2026年“洁净型煤+生物质”成型燃料及服务一体化采购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4,313,400.00</w:t>
      </w:r>
    </w:p>
    <w:p>
      <w:pPr>
        <w:pStyle w:val="null3"/>
      </w:pPr>
      <w:r>
        <w:rPr>
          <w:rFonts w:ascii="仿宋_GB2312" w:hAnsi="仿宋_GB2312" w:cs="仿宋_GB2312" w:eastAsia="仿宋_GB2312"/>
        </w:rPr>
        <w:t>采购包最高限价（元）: 4,313,400.00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洁净型煤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3,941,400.00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生物质成型燃料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标的名称：洁净型煤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洁净型煤技术参数要求</w:t>
            </w:r>
          </w:p>
          <w:tbl>
            <w:tblPr>
              <w:tblInd w:type="dxa" w:w="90"/>
              <w:tblBorders>
                <w:top w:val="none" w:color="000000" w:sz="4"/>
                <w:left w:val="none" w:color="000000" w:sz="4"/>
                <w:bottom w:val="none" w:color="000000" w:sz="4"/>
                <w:right w:val="none" w:color="000000" w:sz="4"/>
                <w:insideH w:val="none"/>
                <w:insideV w:val="none"/>
              </w:tblBorders>
            </w:tblPr>
            <w:tblGrid>
              <w:gridCol w:w="2378"/>
              <w:gridCol w:w="171"/>
            </w:tblGrid>
            <w:tr>
              <w:tc>
                <w:tcPr>
                  <w:tcW w:type="dxa" w:w="23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技术参数</w:t>
                  </w:r>
                </w:p>
              </w:tc>
              <w:tc>
                <w:tcPr>
                  <w:tcW w:type="dxa" w:w="1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备注</w:t>
                  </w:r>
                </w:p>
              </w:tc>
            </w:tr>
            <w:tr>
              <w:tc>
                <w:tcPr>
                  <w:tcW w:type="dxa" w:w="23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183"/>
                    <w:gridCol w:w="825"/>
                    <w:gridCol w:w="585"/>
                    <w:gridCol w:w="562"/>
                  </w:tblGrid>
                  <w:tr>
                    <w:tc>
                      <w:tcPr>
                        <w:tcW w:type="dxa" w:w="183"/>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洁净型煤</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检测项目</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标准</w:t>
                        </w:r>
                        <w:r>
                          <w:rPr>
                            <w:rFonts w:ascii="仿宋_GB2312" w:hAnsi="仿宋_GB2312" w:cs="仿宋_GB2312" w:eastAsia="仿宋_GB2312"/>
                            <w:sz w:val="22"/>
                          </w:rPr>
                          <w:t>/技术要求</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单位</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发热量</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24.00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MJ/kg</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全硫分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0.50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挥发分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12.00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全水分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冷压强度</w:t>
                        </w:r>
                        <w:r>
                          <w:rPr>
                            <w:rFonts w:ascii="仿宋_GB2312" w:hAnsi="仿宋_GB2312" w:cs="仿宋_GB2312" w:eastAsia="仿宋_GB2312"/>
                            <w:sz w:val="22"/>
                          </w:rPr>
                          <w:t>(</w:t>
                        </w:r>
                        <w:r>
                          <w:rPr>
                            <w:rFonts w:ascii="仿宋_GB2312" w:hAnsi="仿宋_GB2312" w:cs="仿宋_GB2312" w:eastAsia="仿宋_GB2312"/>
                            <w:sz w:val="22"/>
                          </w:rPr>
                          <w:t>干型煤</w:t>
                        </w:r>
                        <w:r>
                          <w:rPr>
                            <w:rFonts w:ascii="仿宋_GB2312" w:hAnsi="仿宋_GB2312" w:cs="仿宋_GB2312" w:eastAsia="仿宋_GB2312"/>
                            <w:sz w:val="22"/>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400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N/</w:t>
                        </w:r>
                        <w:r>
                          <w:rPr>
                            <w:rFonts w:ascii="仿宋_GB2312" w:hAnsi="仿宋_GB2312" w:cs="仿宋_GB2312" w:eastAsia="仿宋_GB2312"/>
                            <w:sz w:val="22"/>
                          </w:rPr>
                          <w:t>个</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落下强度</w:t>
                        </w:r>
                        <w:r>
                          <w:rPr>
                            <w:rFonts w:ascii="仿宋_GB2312" w:hAnsi="仿宋_GB2312" w:cs="仿宋_GB2312" w:eastAsia="仿宋_GB2312"/>
                            <w:sz w:val="22"/>
                          </w:rPr>
                          <w:t>(</w:t>
                        </w:r>
                        <w:r>
                          <w:rPr>
                            <w:rFonts w:ascii="仿宋_GB2312" w:hAnsi="仿宋_GB2312" w:cs="仿宋_GB2312" w:eastAsia="仿宋_GB2312"/>
                            <w:sz w:val="22"/>
                          </w:rPr>
                          <w:t>干型煤</w:t>
                        </w:r>
                        <w:r>
                          <w:rPr>
                            <w:rFonts w:ascii="仿宋_GB2312" w:hAnsi="仿宋_GB2312" w:cs="仿宋_GB2312" w:eastAsia="仿宋_GB2312"/>
                            <w:sz w:val="22"/>
                          </w:rPr>
                          <w:t>)</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80.00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183"/>
                        <w:vMerge/>
                        <w:tcBorders>
                          <w:top w:val="single" w:color="000000" w:sz="4"/>
                          <w:left w:val="single" w:color="000000" w:sz="4"/>
                          <w:bottom w:val="non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25mm</w:t>
                        </w:r>
                        <w:r>
                          <w:rPr>
                            <w:rFonts w:ascii="仿宋_GB2312" w:hAnsi="仿宋_GB2312" w:cs="仿宋_GB2312" w:eastAsia="仿宋_GB2312"/>
                            <w:sz w:val="22"/>
                          </w:rPr>
                          <w:t>孔径限下率</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r>
                          <w:rPr>
                            <w:rFonts w:ascii="仿宋_GB2312" w:hAnsi="仿宋_GB2312" w:cs="仿宋_GB2312" w:eastAsia="仿宋_GB2312"/>
                            <w:sz w:val="22"/>
                          </w:rPr>
                          <w:t>15.00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183"/>
                        <w:vMerge/>
                        <w:tcBorders>
                          <w:top w:val="single" w:color="000000" w:sz="4"/>
                          <w:left w:val="single" w:color="000000" w:sz="4"/>
                          <w:bottom w:val="none" w:color="000000" w:sz="4"/>
                          <w:right w:val="single" w:color="000000" w:sz="4"/>
                        </w:tcBorders>
                      </w:tcPr>
                      <w:p/>
                    </w:tc>
                    <w:tc>
                      <w:tcPr>
                        <w:tcW w:type="dxa" w:w="197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40"/>
                          <w:jc w:val="center"/>
                        </w:pPr>
                        <w:r>
                          <w:rPr>
                            <w:rFonts w:ascii="仿宋_GB2312" w:hAnsi="仿宋_GB2312" w:cs="仿宋_GB2312" w:eastAsia="仿宋_GB2312"/>
                            <w:sz w:val="22"/>
                          </w:rPr>
                          <w:t>注：干型煤是指达到空气干燥状态的试样</w:t>
                        </w:r>
                      </w:p>
                    </w:tc>
                  </w:tr>
                </w:tbl>
                <w:p>
                  <w:pPr>
                    <w:pStyle w:val="null3"/>
                    <w:jc w:val="center"/>
                  </w:pPr>
                </w:p>
              </w:tc>
              <w:tc>
                <w:tcPr>
                  <w:tcW w:type="dxa" w:w="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6569户</w:t>
                  </w:r>
                </w:p>
              </w:tc>
            </w:tr>
          </w:tbl>
          <w:p>
            <w:pPr>
              <w:pStyle w:val="null3"/>
              <w:jc w:val="both"/>
            </w:pPr>
            <w:r>
              <w:rPr>
                <w:rFonts w:ascii="仿宋_GB2312" w:hAnsi="仿宋_GB2312" w:cs="仿宋_GB2312" w:eastAsia="仿宋_GB2312"/>
                <w:sz w:val="24"/>
                <w:color w:val="333333"/>
                <w:shd w:fill="FDFEFE" w:val="clear"/>
              </w:rPr>
              <w:t>注：</w:t>
            </w:r>
            <w:r>
              <w:rPr>
                <w:rFonts w:ascii="仿宋_GB2312" w:hAnsi="仿宋_GB2312" w:cs="仿宋_GB2312" w:eastAsia="仿宋_GB2312"/>
                <w:sz w:val="24"/>
                <w:color w:val="333333"/>
                <w:shd w:fill="FDFEFE" w:val="clear"/>
              </w:rPr>
              <w:t>1、报价包含运输费、税费及售后服务等全部费用</w:t>
            </w:r>
            <w:r>
              <w:rPr>
                <w:rFonts w:ascii="仿宋_GB2312" w:hAnsi="仿宋_GB2312" w:cs="仿宋_GB2312" w:eastAsia="仿宋_GB2312"/>
                <w:sz w:val="24"/>
                <w:color w:val="333333"/>
                <w:shd w:fill="FDFEFE" w:val="clear"/>
              </w:rPr>
              <w:t>；</w:t>
            </w:r>
          </w:p>
          <w:p>
            <w:pPr>
              <w:pStyle w:val="null3"/>
              <w:ind w:firstLine="960"/>
              <w:jc w:val="left"/>
            </w:pPr>
            <w:r>
              <w:rPr>
                <w:rFonts w:ascii="仿宋_GB2312" w:hAnsi="仿宋_GB2312" w:cs="仿宋_GB2312" w:eastAsia="仿宋_GB2312"/>
                <w:sz w:val="24"/>
                <w:color w:val="333333"/>
                <w:shd w:fill="FDFEFE" w:val="clear"/>
              </w:rPr>
              <w:t>2、</w:t>
            </w:r>
            <w:r>
              <w:rPr>
                <w:rFonts w:ascii="仿宋_GB2312" w:hAnsi="仿宋_GB2312" w:cs="仿宋_GB2312" w:eastAsia="仿宋_GB2312"/>
                <w:sz w:val="24"/>
                <w:color w:val="333333"/>
                <w:shd w:fill="FDFEFE" w:val="clear"/>
              </w:rPr>
              <w:t>企业要配合政府建立铜川市型煤配送网络，以确保采暖季型煤供应</w:t>
            </w:r>
            <w:r>
              <w:rPr>
                <w:rFonts w:ascii="仿宋_GB2312" w:hAnsi="仿宋_GB2312" w:cs="仿宋_GB2312" w:eastAsia="仿宋_GB2312"/>
                <w:sz w:val="24"/>
                <w:color w:val="333333"/>
                <w:shd w:fill="FDFEFE" w:val="clear"/>
              </w:rPr>
              <w:t>；</w:t>
            </w:r>
          </w:p>
          <w:p>
            <w:pPr>
              <w:pStyle w:val="null3"/>
              <w:ind w:firstLine="960"/>
              <w:jc w:val="left"/>
            </w:pPr>
            <w:r>
              <w:rPr>
                <w:rFonts w:ascii="仿宋_GB2312" w:hAnsi="仿宋_GB2312" w:cs="仿宋_GB2312" w:eastAsia="仿宋_GB2312"/>
                <w:sz w:val="24"/>
                <w:color w:val="333333"/>
                <w:shd w:fill="FDFEFE" w:val="clear"/>
              </w:rPr>
              <w:t>3、</w:t>
            </w:r>
            <w:r>
              <w:rPr>
                <w:rFonts w:ascii="仿宋_GB2312" w:hAnsi="仿宋_GB2312" w:cs="仿宋_GB2312" w:eastAsia="仿宋_GB2312"/>
                <w:sz w:val="24"/>
                <w:color w:val="333333"/>
                <w:shd w:fill="FDFEFE" w:val="clear"/>
              </w:rPr>
              <w:t>供货地点：企业需将洁净型煤</w:t>
            </w:r>
            <w:r>
              <w:rPr>
                <w:rFonts w:ascii="仿宋_GB2312" w:hAnsi="仿宋_GB2312" w:cs="仿宋_GB2312" w:eastAsia="仿宋_GB2312"/>
                <w:sz w:val="24"/>
                <w:color w:val="333333"/>
                <w:shd w:fill="FDFEFE" w:val="clear"/>
              </w:rPr>
              <w:t>供</w:t>
            </w:r>
            <w:r>
              <w:rPr>
                <w:rFonts w:ascii="仿宋_GB2312" w:hAnsi="仿宋_GB2312" w:cs="仿宋_GB2312" w:eastAsia="仿宋_GB2312"/>
                <w:sz w:val="24"/>
                <w:color w:val="333333"/>
                <w:shd w:fill="FDFEFE" w:val="clear"/>
              </w:rPr>
              <w:t>应到镇一级的型煤</w:t>
            </w:r>
            <w:r>
              <w:rPr>
                <w:rFonts w:ascii="仿宋_GB2312" w:hAnsi="仿宋_GB2312" w:cs="仿宋_GB2312" w:eastAsia="仿宋_GB2312"/>
                <w:sz w:val="24"/>
                <w:color w:val="333333"/>
                <w:shd w:fill="FDFEFE" w:val="clear"/>
              </w:rPr>
              <w:t>发放</w:t>
            </w:r>
            <w:r>
              <w:rPr>
                <w:rFonts w:ascii="仿宋_GB2312" w:hAnsi="仿宋_GB2312" w:cs="仿宋_GB2312" w:eastAsia="仿宋_GB2312"/>
                <w:sz w:val="24"/>
                <w:color w:val="333333"/>
                <w:shd w:fill="FDFEFE" w:val="clear"/>
              </w:rPr>
              <w:t>网点。</w:t>
            </w:r>
          </w:p>
        </w:tc>
      </w:tr>
    </w:tbl>
    <w:p>
      <w:pPr>
        <w:pStyle w:val="null3"/>
      </w:pPr>
      <w:r>
        <w:rPr>
          <w:rFonts w:ascii="仿宋_GB2312" w:hAnsi="仿宋_GB2312" w:cs="仿宋_GB2312" w:eastAsia="仿宋_GB2312"/>
        </w:rPr>
        <w:t>标的名称：生物质成型燃料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生物质成型燃料技术参数要求</w:t>
            </w:r>
          </w:p>
          <w:tbl>
            <w:tblPr>
              <w:tblInd w:type="dxa" w:w="90"/>
              <w:tblBorders>
                <w:top w:val="none" w:color="000000" w:sz="4"/>
                <w:left w:val="none" w:color="000000" w:sz="4"/>
                <w:bottom w:val="none" w:color="000000" w:sz="4"/>
                <w:right w:val="none" w:color="000000" w:sz="4"/>
                <w:insideH w:val="none"/>
                <w:insideV w:val="none"/>
              </w:tblBorders>
            </w:tblPr>
            <w:tblGrid>
              <w:gridCol w:w="2376"/>
              <w:gridCol w:w="171"/>
            </w:tblGrid>
            <w:tr>
              <w:tc>
                <w:tcPr>
                  <w:tcW w:type="dxa" w:w="237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技术参数</w:t>
                  </w:r>
                </w:p>
              </w:tc>
              <w:tc>
                <w:tcPr>
                  <w:tcW w:type="dxa" w:w="1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备注</w:t>
                  </w:r>
                </w:p>
              </w:tc>
            </w:tr>
            <w:tr>
              <w:tc>
                <w:tcPr>
                  <w:tcW w:type="dxa" w:w="23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392"/>
                    <w:gridCol w:w="605"/>
                    <w:gridCol w:w="587"/>
                    <w:gridCol w:w="569"/>
                  </w:tblGrid>
                  <w:tr>
                    <w:tc>
                      <w:tcPr>
                        <w:tcW w:type="dxa" w:w="392"/>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生物质成型燃料</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检测项目</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标准</w:t>
                        </w:r>
                        <w:r>
                          <w:rPr>
                            <w:rFonts w:ascii="仿宋_GB2312" w:hAnsi="仿宋_GB2312" w:cs="仿宋_GB2312" w:eastAsia="仿宋_GB2312"/>
                            <w:sz w:val="22"/>
                          </w:rPr>
                          <w:t>/技术要求</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单位</w:t>
                        </w:r>
                      </w:p>
                    </w:tc>
                  </w:tr>
                  <w:tr>
                    <w:tc>
                      <w:tcPr>
                        <w:tcW w:type="dxa" w:w="392"/>
                        <w:vMerge/>
                        <w:tcBorders>
                          <w:top w:val="singl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全</w:t>
                        </w:r>
                        <w:r>
                          <w:rPr>
                            <w:rFonts w:ascii="仿宋_GB2312" w:hAnsi="仿宋_GB2312" w:cs="仿宋_GB2312" w:eastAsia="仿宋_GB2312"/>
                            <w:sz w:val="22"/>
                          </w:rPr>
                          <w:t>水分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≤10</w:t>
                        </w:r>
                        <w:r>
                          <w:rPr>
                            <w:rFonts w:ascii="仿宋_GB2312" w:hAnsi="仿宋_GB2312" w:cs="仿宋_GB2312" w:eastAsia="仿宋_GB2312"/>
                            <w:sz w:val="22"/>
                          </w:rPr>
                          <w:t>.00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392"/>
                        <w:vMerge/>
                        <w:tcBorders>
                          <w:top w:val="singl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灰分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8.00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392"/>
                        <w:vMerge/>
                        <w:tcBorders>
                          <w:top w:val="singl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全硫</w:t>
                        </w:r>
                        <w:r>
                          <w:rPr>
                            <w:rFonts w:ascii="仿宋_GB2312" w:hAnsi="仿宋_GB2312" w:cs="仿宋_GB2312" w:eastAsia="仿宋_GB2312"/>
                            <w:sz w:val="22"/>
                          </w:rPr>
                          <w:t>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≤0.30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392"/>
                        <w:vMerge/>
                        <w:tcBorders>
                          <w:top w:val="singl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挥发分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≥60</w:t>
                        </w:r>
                        <w:r>
                          <w:rPr>
                            <w:rFonts w:ascii="仿宋_GB2312" w:hAnsi="仿宋_GB2312" w:cs="仿宋_GB2312" w:eastAsia="仿宋_GB2312"/>
                            <w:sz w:val="22"/>
                          </w:rPr>
                          <w:t>.00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w:t>
                        </w:r>
                      </w:p>
                    </w:tc>
                  </w:tr>
                  <w:tr>
                    <w:tc>
                      <w:tcPr>
                        <w:tcW w:type="dxa" w:w="392"/>
                        <w:vMerge/>
                        <w:tcBorders>
                          <w:top w:val="single" w:color="000000" w:sz="4"/>
                          <w:left w:val="single" w:color="000000" w:sz="4"/>
                          <w:bottom w:val="non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发热量</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18.50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22"/>
                          </w:rPr>
                          <w:t>MJ/kg</w:t>
                        </w:r>
                      </w:p>
                    </w:tc>
                  </w:tr>
                </w:tbl>
                <w:p>
                  <w:pPr>
                    <w:pStyle w:val="null3"/>
                    <w:jc w:val="center"/>
                  </w:pPr>
                </w:p>
              </w:tc>
              <w:tc>
                <w:tcPr>
                  <w:tcW w:type="dxa" w:w="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620户</w:t>
                  </w:r>
                </w:p>
              </w:tc>
            </w:tr>
          </w:tbl>
          <w:p>
            <w:pPr>
              <w:pStyle w:val="null3"/>
              <w:jc w:val="both"/>
            </w:pPr>
            <w:r>
              <w:rPr>
                <w:rFonts w:ascii="仿宋_GB2312" w:hAnsi="仿宋_GB2312" w:cs="仿宋_GB2312" w:eastAsia="仿宋_GB2312"/>
                <w:sz w:val="24"/>
                <w:color w:val="333333"/>
                <w:shd w:fill="FDFEFE" w:val="clear"/>
              </w:rPr>
              <w:t>注：</w:t>
            </w:r>
            <w:r>
              <w:rPr>
                <w:rFonts w:ascii="仿宋_GB2312" w:hAnsi="仿宋_GB2312" w:cs="仿宋_GB2312" w:eastAsia="仿宋_GB2312"/>
                <w:sz w:val="24"/>
                <w:color w:val="333333"/>
                <w:shd w:fill="FDFEFE" w:val="clear"/>
              </w:rPr>
              <w:t>1、报价</w:t>
            </w:r>
            <w:r>
              <w:rPr>
                <w:rFonts w:ascii="仿宋_GB2312" w:hAnsi="仿宋_GB2312" w:cs="仿宋_GB2312" w:eastAsia="仿宋_GB2312"/>
                <w:sz w:val="24"/>
                <w:color w:val="333333"/>
                <w:shd w:fill="FDFEFE" w:val="clear"/>
              </w:rPr>
              <w:t>包含</w:t>
            </w:r>
            <w:r>
              <w:rPr>
                <w:rFonts w:ascii="仿宋_GB2312" w:hAnsi="仿宋_GB2312" w:cs="仿宋_GB2312" w:eastAsia="仿宋_GB2312"/>
                <w:sz w:val="24"/>
                <w:color w:val="333333"/>
                <w:shd w:fill="FDFEFE" w:val="clear"/>
              </w:rPr>
              <w:t>运输费、税费</w:t>
            </w:r>
            <w:r>
              <w:rPr>
                <w:rFonts w:ascii="仿宋_GB2312" w:hAnsi="仿宋_GB2312" w:cs="仿宋_GB2312" w:eastAsia="仿宋_GB2312"/>
                <w:sz w:val="24"/>
                <w:color w:val="333333"/>
                <w:shd w:fill="FDFEFE" w:val="clear"/>
              </w:rPr>
              <w:t>及售后服务</w:t>
            </w:r>
            <w:r>
              <w:rPr>
                <w:rFonts w:ascii="仿宋_GB2312" w:hAnsi="仿宋_GB2312" w:cs="仿宋_GB2312" w:eastAsia="仿宋_GB2312"/>
                <w:sz w:val="24"/>
                <w:color w:val="333333"/>
                <w:shd w:fill="FDFEFE" w:val="clear"/>
              </w:rPr>
              <w:t>等全部</w:t>
            </w:r>
            <w:r>
              <w:rPr>
                <w:rFonts w:ascii="仿宋_GB2312" w:hAnsi="仿宋_GB2312" w:cs="仿宋_GB2312" w:eastAsia="仿宋_GB2312"/>
                <w:sz w:val="24"/>
                <w:color w:val="333333"/>
                <w:shd w:fill="FDFEFE" w:val="clear"/>
              </w:rPr>
              <w:t>费用；</w:t>
            </w:r>
          </w:p>
          <w:p>
            <w:pPr>
              <w:pStyle w:val="null3"/>
              <w:ind w:firstLine="960"/>
              <w:jc w:val="left"/>
            </w:pPr>
            <w:r>
              <w:rPr>
                <w:rFonts w:ascii="仿宋_GB2312" w:hAnsi="仿宋_GB2312" w:cs="仿宋_GB2312" w:eastAsia="仿宋_GB2312"/>
                <w:sz w:val="24"/>
                <w:color w:val="333333"/>
                <w:shd w:fill="FDFEFE" w:val="clear"/>
              </w:rPr>
              <w:t>2、</w:t>
            </w:r>
            <w:r>
              <w:rPr>
                <w:rFonts w:ascii="仿宋_GB2312" w:hAnsi="仿宋_GB2312" w:cs="仿宋_GB2312" w:eastAsia="仿宋_GB2312"/>
                <w:sz w:val="24"/>
                <w:color w:val="333333"/>
                <w:shd w:fill="FDFEFE" w:val="clear"/>
              </w:rPr>
              <w:t>企业要配合政府建立铜川市生物质成型燃料配送网络，以确保采暖季生物质成型燃料供应</w:t>
            </w:r>
            <w:r>
              <w:rPr>
                <w:rFonts w:ascii="仿宋_GB2312" w:hAnsi="仿宋_GB2312" w:cs="仿宋_GB2312" w:eastAsia="仿宋_GB2312"/>
                <w:sz w:val="24"/>
                <w:color w:val="333333"/>
                <w:shd w:fill="FDFEFE" w:val="clear"/>
              </w:rPr>
              <w:t>；</w:t>
            </w:r>
          </w:p>
          <w:p>
            <w:pPr>
              <w:pStyle w:val="null3"/>
              <w:ind w:firstLine="960"/>
              <w:jc w:val="left"/>
            </w:pPr>
            <w:r>
              <w:rPr>
                <w:rFonts w:ascii="仿宋_GB2312" w:hAnsi="仿宋_GB2312" w:cs="仿宋_GB2312" w:eastAsia="仿宋_GB2312"/>
                <w:sz w:val="24"/>
                <w:color w:val="333333"/>
                <w:shd w:fill="FDFEFE" w:val="clear"/>
              </w:rPr>
              <w:t>3、</w:t>
            </w:r>
            <w:r>
              <w:rPr>
                <w:rFonts w:ascii="仿宋_GB2312" w:hAnsi="仿宋_GB2312" w:cs="仿宋_GB2312" w:eastAsia="仿宋_GB2312"/>
                <w:sz w:val="24"/>
                <w:color w:val="333333"/>
                <w:shd w:fill="FDFEFE" w:val="clear"/>
              </w:rPr>
              <w:t>供货地点：企业需将生物质成型燃料</w:t>
            </w:r>
            <w:r>
              <w:rPr>
                <w:rFonts w:ascii="仿宋_GB2312" w:hAnsi="仿宋_GB2312" w:cs="仿宋_GB2312" w:eastAsia="仿宋_GB2312"/>
                <w:sz w:val="24"/>
                <w:color w:val="333333"/>
                <w:shd w:fill="FDFEFE" w:val="clear"/>
              </w:rPr>
              <w:t>供</w:t>
            </w:r>
            <w:r>
              <w:rPr>
                <w:rFonts w:ascii="仿宋_GB2312" w:hAnsi="仿宋_GB2312" w:cs="仿宋_GB2312" w:eastAsia="仿宋_GB2312"/>
                <w:sz w:val="24"/>
                <w:color w:val="333333"/>
                <w:shd w:fill="FDFEFE" w:val="clear"/>
              </w:rPr>
              <w:t>应到镇一级的</w:t>
            </w:r>
            <w:r>
              <w:rPr>
                <w:rFonts w:ascii="仿宋_GB2312" w:hAnsi="仿宋_GB2312" w:cs="仿宋_GB2312" w:eastAsia="仿宋_GB2312"/>
                <w:sz w:val="24"/>
                <w:color w:val="333333"/>
                <w:shd w:fill="FDFEFE" w:val="clear"/>
              </w:rPr>
              <w:t>发放</w:t>
            </w:r>
            <w:r>
              <w:rPr>
                <w:rFonts w:ascii="仿宋_GB2312" w:hAnsi="仿宋_GB2312" w:cs="仿宋_GB2312" w:eastAsia="仿宋_GB2312"/>
                <w:sz w:val="24"/>
                <w:color w:val="333333"/>
                <w:shd w:fill="FDFEFE" w:val="clear"/>
              </w:rPr>
              <w:t>网点。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货物供货完成，甲方验收合格后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服务期满后，由乙方向甲方递交验收通知书，经甲方确 认后，组织乙方进行系统验收。 验收合格后，填写政府采购项目验收单作为对本次服务的最终认可。</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（一）保修期时长 1.单批次产品保修期自 交付验收合格之日起计算，其中：洁净煤保修期为 15 天，生物颗粒保修期为 7 天（因生物颗粒易吸潮，保修期需覆盖入库检验周期）。 （二）保修期内质量确认 1.采购方需在保修期内完成抽样检测（可委托第三方机构或自行按约定方法检测），检测结果作为质量问题认定依据； 2.抽样要求：每批次随机抽取 3-5 个样本，检测项目至少包含热值、关键成分及杂质含量。 （三）质量问题处理 1.若检测发现产品不符合保修范围内的质量要求，采购方需在保修期内书面通知供应商，供应商应在 3 个工作日内 响应并处理： 1.1对不合格产品免费退换，往返运输费用由供应商承担； 1.2若采购方已部分使用，按实际不合格比例核减对应货款； 1.3若因产品质量缺陷导致燃烧设备损坏，供应商需承担维修赔偿责任。 （四）紧急情况处理 1.若因产品质量问题导致供能中断，供应商需在 24 小时内 补发合格产品，确保采购方正常运行。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如乙方未按合同约定时间供货，每逾期1个工作日，乙方应向甲方支付货物总价款万分之二的违约金，甲方有权在货款中相应扣除。 2. 如乙方提供货物质量不合格或者数量短缺，乙方应在收到甲方货物异议通知后5个工作日内完成更换合格货物或者补齐短缺的货物。 3. 如乙方提供的货物遭受其他任何第三人提出权利主张（含知识产权）和索赔的，乙方应在接到甲方通知后立即负责协调解决并承担相关费用和索赔。如乙方在接到甲方通知后10个工作日内仍未妥善解决，甲方有权解除合同，乙方除应退还甲方已支付的货款。 4. 甲方逾期付款的，每逾期一天，按照当期逾期付款的万分之二向乙方支付违约金。 5. 针对任何一方的其他违约行为，违约方应在守约方通知后立即纠正，并赔偿因此导致守约方所遭受的经济损失。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 1.报价基础规则（按吨报价） 本次招标为单价招标，报价单位统一为“元 / 吨”，供应商需针对“洁净型煤成型燃料”“生物质成型燃料” 两类产品分别单独报价，且报价为“每吨综合单价”，综合单价包含设计、材料、制造、包装、运输、装卸、检测、验收合格交付使用之前及保修期内保修服务与备用物件等其他有关各项的含税费用。 二、结算方式与换算公式 1.核心换算逻辑（依据中标单价换算每户用煤量） 本次结算以“实际供货量”为核心，结合中标每吨单价，通过以下公式实现“每吨单价”与“每户费用”“每户实际用煤量”的换算： （1）每户实际用煤量确定公式 每户发放煤量（吨/户）= 实际供货总重量（吨）÷ 实际供货户数（户） a.实际供货总重量：以 “农户领取单” 为准，领取需由采购方或乡镇（社区）指定监管人员和供应商现场监督，领取单需注明领取日期且监管人员、供应商、农户三方签字； b.实际供货户数：洁净型煤6569 户，生物质成型燃料 620 户，每户仅允许结算一次（以农户身份证号唯一识别），避免重复结算。 （3）总结算金额换算公式 a.总结算金额（补助金额）= （洁净型煤中标每吨单价 × 洁净型煤实际总供货量） + （生物质成型燃料中标每吨单价 × 生物质实际总供货量）。 二、最高限价 1、洁净型煤投标单价限价：1800元/吨； 2、生物质成型燃料投标单价限价：1500元/吨。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 注”（即资产负债表、利润表、现金流量表、所有者权益变动表及其附注）和财务情况说明，成立时间至提交响应文件截止时间不足一年的可提供成立后任意时段的资产负债表）或在开标日期前六个月内其开户银行出具的资信证明和基本账户信息 ，以上两种形式的资料提供任何一种即可（分支机构如无法提供财务审计报告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提供已缴纳的2025年1月至今任意一个月的完税证明，完税证明上需有代收机构或税务机关的公章或业务专用章，未欠税或免税的供应商应提供相关文件证明。提供已缴存的2025年1月至今任意一个月的完税证明或社保机构开具的社会保险参保缴费情况证明，完税证明或社保机构开具的社会保险参保缴费情况证明上需有代收机构或税务机关的公章或业务专用章。依法不需要缴纳社会保障资金、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法定代表人参加投标的提供法定代表人身份证明 ，委托代理人参加投标的提供授权委托书； 自然人只需提供身份证证明；备注：分支机构由分支机构负责人授权即可；供应商需在项目电子化交易系统中按要求上传相应证明文件并进行电子签章。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诚信资格要求</w:t>
            </w:r>
          </w:p>
        </w:tc>
        <w:tc>
          <w:tcPr>
            <w:tcW w:type="dxa" w:w="3322"/>
          </w:tcPr>
          <w:p>
            <w:pPr>
              <w:pStyle w:val="null3"/>
            </w:pPr>
            <w:r>
              <w:rPr>
                <w:rFonts w:ascii="仿宋_GB2312" w:hAnsi="仿宋_GB2312" w:cs="仿宋_GB2312" w:eastAsia="仿宋_GB2312"/>
              </w:rPr>
              <w:t>提供未被列入“信用中国”网站（www.creditchina.gov.cn）失信被执行人、重大税收违法失信主体和中国政府采购网（http://www.ccgp.gov.cn/cr/list）政府采购严重违法失信行为记录名单的承诺（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技术服务方案.docx 开标一览表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提交首次投标文件的截止之日起不少于90天</w:t>
            </w:r>
          </w:p>
        </w:tc>
        <w:tc>
          <w:tcPr>
            <w:tcW w:type="dxa" w:w="1661"/>
          </w:tcPr>
          <w:p>
            <w:pPr>
              <w:pStyle w:val="null3"/>
            </w:pPr>
            <w:r>
              <w:rPr>
                <w:rFonts w:ascii="仿宋_GB2312" w:hAnsi="仿宋_GB2312" w:cs="仿宋_GB2312" w:eastAsia="仿宋_GB2312"/>
              </w:rPr>
              <w:t>法人授权书.docx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技术服务方案.docx 开标一览表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投标产品的技术指标完全符合、响应或优于文件要求，没有负偏离的得24分（技术指标总计12项）；参数每负偏离一项扣2分，扣完为止。 注：洁净型煤、生物质成型燃料应提供佐证材料（佐证材料包括但不限于：经厂家确认的产品彩页、第三方检测机构出具的年度型式的检验报告等证明材料）予以佐证。不提供的，按照负偏离对待。</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经过有效性和符合性审核合格的投标人，其商务条款响应符合招标文件最低要求的计2分 。优于招标文件要求的每项另加0.5分，最多加1分，不完全响应的计0分。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提供的供货方案进行评审，该方案包含：①总体供货方案；②计划进度安排；③项目团队配备；④项目实施过程中质量保证；⑤项目验收方案。完整提供上述5项内容的得10分；每有一项未提供扣2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投标人提供的质量保障方案进行评审，该方案包含：①产品性能；②明确质量目标；③质量保证措施；④质量承诺；⑤质量控制流程。完整提供上述5项内容的得10分；每有一项未提供扣2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质量保证期限及质量保证的范围承诺；②厂商售后服务承诺；③售后服务保障措施；④售后人员配置安排计划；⑤售后处理响应时间；⑥售后网点。完整提供上述6项内容的得12分；每有一项未提供扣2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根据投标人提供的突发情况应急预案进行评审，该方案包含：①可能遇到的突发情况；②突发情况的解决办法；③突发情况的避免；④应急情况的培训；⑤管理团队。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供应商需提供2023年1月1日至今类似项目业绩，每提供一个得2分，最多得6分(投标文件需附业绩合同关键页)；未提供不得分。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按照财政部《政府采购货物和服务招标投标管理办法》（财政部令第87号）的有关规定：价格分采用（“预算占比加权”，用 “低价优先法” 计算），即满足招标文件要求且各项投标价格最低单价为评标基准价，其价格分为权值分。其投标人的价格分统一按照下列公式计算： 1：计算洁净煤和生物质的价格分权值 权值计算公式：洁净煤权重 = 洁净煤预算金额 ÷ 总预算 ×100%*30 权值计算公式：生物质权重 = 生物质预算金额 ÷ 总预算 ×100%*30 2：价格分计算方法 （1）确定洁净煤和生物质的“评标基准价” 洁净煤基准价 = 所有有效投标人的洁净煤报价中的最低单价 生物质煤基准价 = 所有有效投标人的生物质煤报价中的最低单价 （2）计算单类煤价格得分 洁净煤价格得分=（洁净煤基准价÷洁净煤报价）×洁净煤权值分 生物质价格得分=（生物质基准价÷生物质报价）×生物质权值分 （3）计算总价格分 总价格分=洁净煤价格得分+生物质煤价格得分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