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DB1534">
      <w:pPr>
        <w:pStyle w:val="7"/>
        <w:spacing w:before="240" w:beforeLines="100" w:line="360" w:lineRule="auto"/>
        <w:ind w:firstLine="420"/>
        <w:rPr>
          <w:rFonts w:hint="eastAsia" w:ascii="宋体" w:hAnsi="宋体"/>
          <w:sz w:val="21"/>
          <w:szCs w:val="21"/>
          <w:highlight w:val="none"/>
        </w:rPr>
      </w:pPr>
      <w:r>
        <w:rPr>
          <w:rFonts w:hint="eastAsia" w:ascii="宋体" w:hAnsi="宋体"/>
          <w:sz w:val="21"/>
          <w:szCs w:val="21"/>
          <w:highlight w:val="none"/>
        </w:rPr>
        <w:t xml:space="preserve">合同编号： </w:t>
      </w:r>
    </w:p>
    <w:p w14:paraId="0BCA4686">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签订地点： </w:t>
      </w:r>
    </w:p>
    <w:p w14:paraId="24F17265">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签订时间:</w:t>
      </w:r>
    </w:p>
    <w:p w14:paraId="6CF899C4">
      <w:pPr>
        <w:pStyle w:val="7"/>
        <w:spacing w:line="360" w:lineRule="auto"/>
        <w:ind w:firstLine="420"/>
        <w:rPr>
          <w:rFonts w:hint="eastAsia" w:ascii="宋体" w:hAnsi="宋体"/>
          <w:sz w:val="21"/>
          <w:szCs w:val="21"/>
          <w:highlight w:val="none"/>
        </w:rPr>
      </w:pPr>
    </w:p>
    <w:p w14:paraId="5FCD9C62">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采购人（甲方）：</w:t>
      </w:r>
    </w:p>
    <w:p w14:paraId="070FBBA8">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供应商（乙方）：</w:t>
      </w:r>
    </w:p>
    <w:p w14:paraId="47CE5049">
      <w:pPr>
        <w:pStyle w:val="7"/>
        <w:spacing w:before="120" w:beforeLines="50" w:line="360" w:lineRule="auto"/>
        <w:ind w:firstLine="420"/>
        <w:rPr>
          <w:rFonts w:hint="eastAsia" w:ascii="宋体" w:hAnsi="宋体"/>
          <w:sz w:val="21"/>
          <w:szCs w:val="21"/>
          <w:highlight w:val="none"/>
        </w:rPr>
      </w:pPr>
      <w:r>
        <w:rPr>
          <w:rFonts w:hint="eastAsia" w:ascii="宋体" w:hAnsi="宋体"/>
          <w:sz w:val="21"/>
          <w:szCs w:val="21"/>
          <w:highlight w:val="none"/>
        </w:rPr>
        <w:t>根据《中华人民共和国政府采购法》及实施条例、《中华人民共和国民法典》和甲方</w:t>
      </w:r>
      <w:r>
        <w:rPr>
          <w:rFonts w:hint="eastAsia" w:ascii="宋体" w:hAnsi="宋体"/>
          <w:sz w:val="21"/>
          <w:szCs w:val="21"/>
          <w:highlight w:val="none"/>
          <w:u w:val="single"/>
        </w:rPr>
        <w:t xml:space="preserve">             </w:t>
      </w:r>
      <w:r>
        <w:rPr>
          <w:rFonts w:hint="eastAsia" w:ascii="宋体" w:hAnsi="宋体"/>
          <w:sz w:val="21"/>
          <w:szCs w:val="21"/>
          <w:highlight w:val="none"/>
        </w:rPr>
        <w:t xml:space="preserve"> 采购项目（采购项目编号：</w:t>
      </w:r>
      <w:r>
        <w:rPr>
          <w:rFonts w:hint="eastAsia" w:ascii="宋体" w:hAnsi="宋体"/>
          <w:sz w:val="21"/>
          <w:szCs w:val="21"/>
          <w:highlight w:val="none"/>
          <w:lang w:val="en-US" w:eastAsia="zh-CN"/>
        </w:rPr>
        <w:t xml:space="preserve">         </w:t>
      </w:r>
      <w:r>
        <w:rPr>
          <w:rFonts w:hint="eastAsia" w:ascii="宋体" w:hAnsi="宋体"/>
          <w:sz w:val="21"/>
          <w:szCs w:val="21"/>
          <w:highlight w:val="none"/>
        </w:rPr>
        <w:t>）的</w:t>
      </w:r>
      <w:r>
        <w:rPr>
          <w:rFonts w:hint="eastAsia" w:ascii="宋体" w:hAnsi="宋体"/>
          <w:sz w:val="21"/>
          <w:szCs w:val="21"/>
          <w:highlight w:val="none"/>
          <w:lang w:val="en-US" w:eastAsia="zh-CN"/>
        </w:rPr>
        <w:t>招标</w:t>
      </w:r>
      <w:r>
        <w:rPr>
          <w:rFonts w:hint="eastAsia" w:ascii="宋体" w:hAnsi="宋体"/>
          <w:sz w:val="21"/>
          <w:szCs w:val="21"/>
          <w:highlight w:val="none"/>
        </w:rPr>
        <w:t>文件、响应文件等有关规定，为确保甲方采购项目的顺利实施，甲、乙双方在平等自愿原则下签订本合同，并共同遵守如下条款：</w:t>
      </w:r>
    </w:p>
    <w:p w14:paraId="66F59B38">
      <w:pPr>
        <w:pStyle w:val="7"/>
        <w:spacing w:before="120" w:beforeLines="50" w:line="360" w:lineRule="auto"/>
        <w:ind w:firstLine="452" w:firstLineChars="150"/>
        <w:outlineLvl w:val="1"/>
        <w:rPr>
          <w:rFonts w:hint="eastAsia"/>
          <w:b/>
          <w:sz w:val="30"/>
          <w:szCs w:val="30"/>
          <w:highlight w:val="none"/>
        </w:rPr>
      </w:pPr>
      <w:bookmarkStart w:id="0" w:name="_Toc30817"/>
      <w:r>
        <w:rPr>
          <w:rFonts w:hint="eastAsia"/>
          <w:b/>
          <w:sz w:val="30"/>
          <w:szCs w:val="30"/>
          <w:highlight w:val="none"/>
        </w:rPr>
        <w:t>第一条 合同标的及数量</w:t>
      </w:r>
      <w:bookmarkEnd w:id="0"/>
    </w:p>
    <w:p w14:paraId="393D93A5">
      <w:pPr>
        <w:pStyle w:val="4"/>
        <w:spacing w:before="120" w:beforeLines="50" w:after="120" w:afterLines="50"/>
        <w:ind w:firstLine="0"/>
        <w:jc w:val="both"/>
        <w:outlineLvl w:val="1"/>
        <w:rPr>
          <w:rFonts w:hint="eastAsia"/>
          <w:sz w:val="21"/>
          <w:szCs w:val="21"/>
          <w:highlight w:val="none"/>
        </w:rPr>
      </w:pPr>
      <w:r>
        <w:rPr>
          <w:rFonts w:hint="eastAsia"/>
          <w:sz w:val="21"/>
          <w:szCs w:val="21"/>
          <w:highlight w:val="none"/>
        </w:rPr>
        <w:t>乙方向甲方提供下列货物（产品）：</w:t>
      </w:r>
      <w:bookmarkStart w:id="1" w:name="_Toc18327"/>
    </w:p>
    <w:p w14:paraId="1E514669">
      <w:pPr>
        <w:pStyle w:val="4"/>
        <w:spacing w:before="120" w:beforeLines="50" w:after="120" w:afterLines="50"/>
        <w:ind w:firstLine="0"/>
        <w:jc w:val="center"/>
        <w:outlineLvl w:val="1"/>
        <w:rPr>
          <w:rFonts w:hint="eastAsia" w:ascii="黑体" w:hAnsi="黑体" w:eastAsia="黑体"/>
          <w:sz w:val="36"/>
          <w:szCs w:val="36"/>
          <w:highlight w:val="none"/>
        </w:rPr>
      </w:pPr>
      <w:r>
        <w:rPr>
          <w:rFonts w:hint="eastAsia" w:ascii="黑体" w:hAnsi="黑体" w:eastAsia="黑体"/>
          <w:sz w:val="36"/>
          <w:szCs w:val="36"/>
          <w:highlight w:val="none"/>
        </w:rPr>
        <w:t>供货一览表</w:t>
      </w:r>
      <w:bookmarkEnd w:id="1"/>
    </w:p>
    <w:tbl>
      <w:tblPr>
        <w:tblStyle w:val="5"/>
        <w:tblpPr w:leftFromText="180" w:rightFromText="180" w:vertAnchor="text" w:horzAnchor="page" w:tblpX="1787" w:tblpY="285"/>
        <w:tblW w:w="9322"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728"/>
        <w:gridCol w:w="1194"/>
        <w:gridCol w:w="1783"/>
        <w:gridCol w:w="709"/>
        <w:gridCol w:w="709"/>
        <w:gridCol w:w="1134"/>
        <w:gridCol w:w="1417"/>
      </w:tblGrid>
      <w:tr w14:paraId="64A4CB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648" w:type="dxa"/>
            <w:noWrap w:val="0"/>
            <w:vAlign w:val="center"/>
          </w:tcPr>
          <w:p w14:paraId="3CFE531B">
            <w:pPr>
              <w:pStyle w:val="3"/>
              <w:spacing w:before="0" w:after="0" w:line="240" w:lineRule="auto"/>
              <w:jc w:val="center"/>
              <w:rPr>
                <w:rFonts w:hint="eastAsia" w:ascii="宋体" w:hAnsi="宋体" w:eastAsia="宋体"/>
                <w:sz w:val="21"/>
                <w:szCs w:val="21"/>
                <w:highlight w:val="none"/>
              </w:rPr>
            </w:pPr>
            <w:bookmarkStart w:id="2" w:name="_Toc27462"/>
            <w:bookmarkStart w:id="3" w:name="_Toc15957"/>
            <w:r>
              <w:rPr>
                <w:rFonts w:hint="eastAsia" w:ascii="宋体" w:hAnsi="宋体" w:eastAsia="宋体"/>
                <w:sz w:val="21"/>
                <w:szCs w:val="21"/>
                <w:highlight w:val="none"/>
              </w:rPr>
              <w:t>序号</w:t>
            </w:r>
            <w:bookmarkEnd w:id="2"/>
          </w:p>
        </w:tc>
        <w:tc>
          <w:tcPr>
            <w:tcW w:w="1728" w:type="dxa"/>
            <w:noWrap w:val="0"/>
            <w:vAlign w:val="center"/>
          </w:tcPr>
          <w:p w14:paraId="3D05D63A">
            <w:pPr>
              <w:pStyle w:val="3"/>
              <w:spacing w:before="0" w:after="0"/>
              <w:jc w:val="center"/>
              <w:rPr>
                <w:rFonts w:hint="eastAsia" w:ascii="宋体" w:hAnsi="宋体" w:eastAsia="宋体"/>
                <w:sz w:val="21"/>
                <w:szCs w:val="21"/>
                <w:highlight w:val="none"/>
              </w:rPr>
            </w:pPr>
            <w:bookmarkStart w:id="4" w:name="_Toc7301"/>
            <w:r>
              <w:rPr>
                <w:rFonts w:hint="eastAsia" w:ascii="宋体" w:hAnsi="宋体" w:eastAsia="宋体"/>
                <w:sz w:val="21"/>
                <w:szCs w:val="21"/>
                <w:highlight w:val="none"/>
              </w:rPr>
              <w:t>产品名称</w:t>
            </w:r>
            <w:bookmarkEnd w:id="4"/>
          </w:p>
        </w:tc>
        <w:tc>
          <w:tcPr>
            <w:tcW w:w="1194" w:type="dxa"/>
            <w:noWrap w:val="0"/>
            <w:vAlign w:val="center"/>
          </w:tcPr>
          <w:p w14:paraId="55CF8912">
            <w:pPr>
              <w:pStyle w:val="3"/>
              <w:spacing w:before="0" w:after="0"/>
              <w:jc w:val="center"/>
              <w:rPr>
                <w:rFonts w:hint="eastAsia" w:ascii="宋体" w:hAnsi="宋体" w:eastAsia="宋体"/>
                <w:sz w:val="21"/>
                <w:szCs w:val="21"/>
                <w:highlight w:val="none"/>
              </w:rPr>
            </w:pPr>
            <w:bookmarkStart w:id="5" w:name="_Toc8945"/>
            <w:r>
              <w:rPr>
                <w:rFonts w:hint="eastAsia" w:ascii="宋体" w:hAnsi="宋体" w:eastAsia="宋体"/>
                <w:sz w:val="21"/>
                <w:szCs w:val="21"/>
                <w:highlight w:val="none"/>
              </w:rPr>
              <w:t>品牌</w:t>
            </w:r>
            <w:bookmarkEnd w:id="5"/>
          </w:p>
        </w:tc>
        <w:tc>
          <w:tcPr>
            <w:tcW w:w="1783" w:type="dxa"/>
            <w:noWrap w:val="0"/>
            <w:vAlign w:val="center"/>
          </w:tcPr>
          <w:p w14:paraId="29D77331">
            <w:pPr>
              <w:pStyle w:val="3"/>
              <w:spacing w:before="0" w:after="0" w:line="400" w:lineRule="exact"/>
              <w:jc w:val="center"/>
              <w:rPr>
                <w:rFonts w:hint="eastAsia" w:ascii="宋体" w:hAnsi="宋体" w:eastAsia="宋体"/>
                <w:sz w:val="21"/>
                <w:szCs w:val="21"/>
                <w:highlight w:val="none"/>
              </w:rPr>
            </w:pPr>
            <w:bookmarkStart w:id="6" w:name="_Toc22885"/>
            <w:r>
              <w:rPr>
                <w:rFonts w:hint="eastAsia" w:ascii="宋体" w:hAnsi="宋体" w:eastAsia="宋体"/>
                <w:sz w:val="21"/>
                <w:szCs w:val="21"/>
                <w:highlight w:val="none"/>
              </w:rPr>
              <w:t>规格</w:t>
            </w:r>
            <w:bookmarkEnd w:id="6"/>
          </w:p>
        </w:tc>
        <w:tc>
          <w:tcPr>
            <w:tcW w:w="709" w:type="dxa"/>
            <w:noWrap w:val="0"/>
            <w:vAlign w:val="center"/>
          </w:tcPr>
          <w:p w14:paraId="208BC9CE">
            <w:pPr>
              <w:pStyle w:val="3"/>
              <w:spacing w:before="0" w:after="0" w:line="240" w:lineRule="auto"/>
              <w:jc w:val="center"/>
              <w:rPr>
                <w:rFonts w:hint="eastAsia" w:ascii="宋体" w:hAnsi="宋体" w:eastAsia="宋体"/>
                <w:sz w:val="21"/>
                <w:szCs w:val="21"/>
                <w:highlight w:val="none"/>
              </w:rPr>
            </w:pPr>
            <w:bookmarkStart w:id="7" w:name="_Toc20562"/>
            <w:r>
              <w:rPr>
                <w:rFonts w:hint="eastAsia" w:ascii="宋体" w:hAnsi="宋体" w:eastAsia="宋体"/>
                <w:sz w:val="21"/>
                <w:szCs w:val="21"/>
                <w:highlight w:val="none"/>
              </w:rPr>
              <w:t>计量单位</w:t>
            </w:r>
            <w:bookmarkEnd w:id="7"/>
          </w:p>
        </w:tc>
        <w:tc>
          <w:tcPr>
            <w:tcW w:w="709" w:type="dxa"/>
            <w:noWrap w:val="0"/>
            <w:vAlign w:val="center"/>
          </w:tcPr>
          <w:p w14:paraId="0C479884">
            <w:pPr>
              <w:pStyle w:val="3"/>
              <w:spacing w:before="0" w:after="0"/>
              <w:jc w:val="center"/>
              <w:rPr>
                <w:rFonts w:hint="eastAsia" w:ascii="宋体" w:hAnsi="宋体" w:eastAsia="宋体"/>
                <w:sz w:val="21"/>
                <w:szCs w:val="21"/>
                <w:highlight w:val="none"/>
              </w:rPr>
            </w:pPr>
            <w:bookmarkStart w:id="8" w:name="_Toc30301"/>
            <w:r>
              <w:rPr>
                <w:rFonts w:hint="eastAsia" w:ascii="宋体" w:hAnsi="宋体" w:eastAsia="宋体"/>
                <w:sz w:val="21"/>
                <w:szCs w:val="21"/>
                <w:highlight w:val="none"/>
              </w:rPr>
              <w:t>数量</w:t>
            </w:r>
            <w:bookmarkEnd w:id="8"/>
          </w:p>
        </w:tc>
        <w:tc>
          <w:tcPr>
            <w:tcW w:w="1134" w:type="dxa"/>
            <w:noWrap w:val="0"/>
            <w:vAlign w:val="center"/>
          </w:tcPr>
          <w:p w14:paraId="521502FB">
            <w:pPr>
              <w:pStyle w:val="3"/>
              <w:spacing w:before="0" w:after="0"/>
              <w:jc w:val="center"/>
              <w:rPr>
                <w:rFonts w:hint="eastAsia" w:ascii="宋体" w:hAnsi="宋体" w:eastAsia="宋体"/>
                <w:sz w:val="21"/>
                <w:szCs w:val="21"/>
                <w:highlight w:val="none"/>
              </w:rPr>
            </w:pPr>
            <w:bookmarkStart w:id="9" w:name="_Toc5818"/>
            <w:r>
              <w:rPr>
                <w:rFonts w:hint="eastAsia" w:ascii="宋体" w:hAnsi="宋体" w:eastAsia="宋体"/>
                <w:sz w:val="21"/>
                <w:szCs w:val="21"/>
                <w:highlight w:val="none"/>
              </w:rPr>
              <w:t>单价（元）</w:t>
            </w:r>
            <w:bookmarkEnd w:id="9"/>
          </w:p>
        </w:tc>
        <w:tc>
          <w:tcPr>
            <w:tcW w:w="1417" w:type="dxa"/>
            <w:noWrap w:val="0"/>
            <w:vAlign w:val="center"/>
          </w:tcPr>
          <w:p w14:paraId="3D92D57D">
            <w:pPr>
              <w:pStyle w:val="3"/>
              <w:spacing w:before="0" w:after="0"/>
              <w:ind w:left="207" w:hanging="207" w:hangingChars="98"/>
              <w:jc w:val="center"/>
              <w:rPr>
                <w:rFonts w:hint="eastAsia" w:ascii="宋体" w:hAnsi="宋体" w:eastAsia="宋体"/>
                <w:sz w:val="21"/>
                <w:szCs w:val="21"/>
                <w:highlight w:val="none"/>
              </w:rPr>
            </w:pPr>
            <w:bookmarkStart w:id="10" w:name="_Toc9555"/>
            <w:r>
              <w:rPr>
                <w:rFonts w:hint="eastAsia" w:ascii="宋体" w:hAnsi="宋体" w:eastAsia="宋体"/>
                <w:sz w:val="21"/>
                <w:szCs w:val="21"/>
                <w:highlight w:val="none"/>
              </w:rPr>
              <w:t>金额 (元)</w:t>
            </w:r>
            <w:bookmarkEnd w:id="10"/>
          </w:p>
        </w:tc>
      </w:tr>
      <w:tr w14:paraId="480DBC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197FE3F0">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78AED16D">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27ED9AEA">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5DF06F1C">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396C337A">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7C919A07">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2B5CB088">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74D63008">
            <w:pPr>
              <w:pStyle w:val="3"/>
              <w:spacing w:before="0" w:after="0" w:line="360" w:lineRule="auto"/>
              <w:outlineLvl w:val="9"/>
              <w:rPr>
                <w:rFonts w:hint="eastAsia" w:ascii="宋体" w:hAnsi="宋体" w:eastAsia="宋体"/>
                <w:sz w:val="24"/>
                <w:szCs w:val="24"/>
                <w:highlight w:val="none"/>
              </w:rPr>
            </w:pPr>
          </w:p>
        </w:tc>
      </w:tr>
      <w:tr w14:paraId="50CF12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4C2B8508">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45E1B2F3">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209392EE">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4DCC3FAD">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3717EF2B">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0816E7B9">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4576EF9A">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02616478">
            <w:pPr>
              <w:pStyle w:val="3"/>
              <w:spacing w:before="0" w:after="0" w:line="360" w:lineRule="auto"/>
              <w:outlineLvl w:val="9"/>
              <w:rPr>
                <w:rFonts w:hint="eastAsia" w:ascii="宋体" w:hAnsi="宋体" w:eastAsia="宋体"/>
                <w:sz w:val="24"/>
                <w:szCs w:val="24"/>
                <w:highlight w:val="none"/>
              </w:rPr>
            </w:pPr>
          </w:p>
        </w:tc>
      </w:tr>
      <w:tr w14:paraId="09EBA3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196E26CF">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23E14681">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32804801">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785FD77C">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0CF714BD">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57AE20E7">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77E3D1EF">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364FBDA3">
            <w:pPr>
              <w:pStyle w:val="3"/>
              <w:spacing w:before="0" w:after="0" w:line="360" w:lineRule="auto"/>
              <w:outlineLvl w:val="9"/>
              <w:rPr>
                <w:rFonts w:hint="eastAsia" w:ascii="宋体" w:hAnsi="宋体" w:eastAsia="宋体"/>
                <w:sz w:val="24"/>
                <w:szCs w:val="24"/>
                <w:highlight w:val="none"/>
              </w:rPr>
            </w:pPr>
          </w:p>
        </w:tc>
      </w:tr>
      <w:tr w14:paraId="6A1D12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0156CE98">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6D07DDB0">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0D30A95F">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4770F23B">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00AD1908">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22B3255B">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63CA729E">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1D44C613">
            <w:pPr>
              <w:pStyle w:val="3"/>
              <w:spacing w:before="0" w:after="0" w:line="360" w:lineRule="auto"/>
              <w:outlineLvl w:val="9"/>
              <w:rPr>
                <w:rFonts w:hint="eastAsia" w:ascii="宋体" w:hAnsi="宋体" w:eastAsia="宋体"/>
                <w:sz w:val="24"/>
                <w:szCs w:val="24"/>
                <w:highlight w:val="none"/>
              </w:rPr>
            </w:pPr>
          </w:p>
        </w:tc>
      </w:tr>
      <w:tr w14:paraId="352F88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11B9B99B">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186D29A0">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6D0BB398">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12B297EB">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6D3D4B0F">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68548F88">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4B0AA94A">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24E5542A">
            <w:pPr>
              <w:pStyle w:val="3"/>
              <w:spacing w:before="0" w:after="0" w:line="360" w:lineRule="auto"/>
              <w:outlineLvl w:val="9"/>
              <w:rPr>
                <w:rFonts w:hint="eastAsia" w:ascii="宋体" w:hAnsi="宋体" w:eastAsia="宋体"/>
                <w:sz w:val="24"/>
                <w:szCs w:val="24"/>
                <w:highlight w:val="none"/>
              </w:rPr>
            </w:pPr>
          </w:p>
        </w:tc>
      </w:tr>
      <w:tr w14:paraId="71C4FA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4A47F8DF">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01FBA673">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60A7CE36">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15B35B9F">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5DD79FD1">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0ED4E998">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4C1885F0">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5B36B562">
            <w:pPr>
              <w:pStyle w:val="3"/>
              <w:spacing w:before="0" w:after="0" w:line="360" w:lineRule="auto"/>
              <w:outlineLvl w:val="9"/>
              <w:rPr>
                <w:rFonts w:hint="eastAsia" w:ascii="宋体" w:hAnsi="宋体" w:eastAsia="宋体"/>
                <w:sz w:val="24"/>
                <w:szCs w:val="24"/>
                <w:highlight w:val="none"/>
              </w:rPr>
            </w:pPr>
          </w:p>
        </w:tc>
      </w:tr>
      <w:tr w14:paraId="2BFC68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410211BA">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6E7AACCD">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373B0156">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2C6C9326">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0EC17CD2">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71766308">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0F473DEE">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36046C68">
            <w:pPr>
              <w:pStyle w:val="3"/>
              <w:spacing w:before="0" w:after="0" w:line="360" w:lineRule="auto"/>
              <w:outlineLvl w:val="9"/>
              <w:rPr>
                <w:rFonts w:hint="eastAsia" w:ascii="宋体" w:hAnsi="宋体" w:eastAsia="宋体"/>
                <w:sz w:val="24"/>
                <w:szCs w:val="24"/>
                <w:highlight w:val="none"/>
              </w:rPr>
            </w:pPr>
          </w:p>
        </w:tc>
      </w:tr>
      <w:tr w14:paraId="6683AE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4B1B5189">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415472C6">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67F116D1">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30580660">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4D211EE7">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607649F4">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12FD8CF0">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5779FC82">
            <w:pPr>
              <w:pStyle w:val="3"/>
              <w:spacing w:before="0" w:after="0" w:line="360" w:lineRule="auto"/>
              <w:outlineLvl w:val="9"/>
              <w:rPr>
                <w:rFonts w:hint="eastAsia" w:ascii="宋体" w:hAnsi="宋体" w:eastAsia="宋体"/>
                <w:sz w:val="24"/>
                <w:szCs w:val="24"/>
                <w:highlight w:val="none"/>
              </w:rPr>
            </w:pPr>
          </w:p>
        </w:tc>
      </w:tr>
      <w:tr w14:paraId="294E36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6FED5B73">
            <w:pPr>
              <w:pStyle w:val="3"/>
              <w:spacing w:before="0" w:after="0" w:line="360" w:lineRule="auto"/>
              <w:outlineLvl w:val="9"/>
              <w:rPr>
                <w:rFonts w:hint="eastAsia" w:ascii="宋体" w:hAnsi="宋体" w:eastAsia="宋体"/>
                <w:sz w:val="24"/>
                <w:szCs w:val="24"/>
                <w:highlight w:val="none"/>
              </w:rPr>
            </w:pPr>
          </w:p>
        </w:tc>
        <w:tc>
          <w:tcPr>
            <w:tcW w:w="6123" w:type="dxa"/>
            <w:gridSpan w:val="5"/>
            <w:noWrap w:val="0"/>
            <w:vAlign w:val="center"/>
          </w:tcPr>
          <w:p w14:paraId="6D6192D9">
            <w:pPr>
              <w:pStyle w:val="3"/>
              <w:spacing w:before="0" w:after="0" w:line="240" w:lineRule="auto"/>
              <w:rPr>
                <w:rFonts w:hint="eastAsia" w:ascii="宋体" w:hAnsi="宋体" w:eastAsia="宋体"/>
                <w:sz w:val="21"/>
                <w:szCs w:val="21"/>
                <w:highlight w:val="none"/>
              </w:rPr>
            </w:pPr>
            <w:bookmarkStart w:id="11" w:name="_Toc29929"/>
            <w:r>
              <w:rPr>
                <w:rFonts w:hint="eastAsia" w:ascii="宋体" w:hAnsi="宋体" w:eastAsia="宋体"/>
                <w:sz w:val="21"/>
                <w:szCs w:val="21"/>
                <w:highlight w:val="none"/>
              </w:rPr>
              <w:t>大写</w:t>
            </w:r>
            <w:bookmarkEnd w:id="11"/>
          </w:p>
        </w:tc>
        <w:tc>
          <w:tcPr>
            <w:tcW w:w="2551" w:type="dxa"/>
            <w:gridSpan w:val="2"/>
            <w:noWrap w:val="0"/>
            <w:vAlign w:val="center"/>
          </w:tcPr>
          <w:p w14:paraId="3FFE7162">
            <w:pPr>
              <w:pStyle w:val="3"/>
              <w:spacing w:before="0" w:after="0" w:line="240" w:lineRule="auto"/>
              <w:rPr>
                <w:rFonts w:hint="eastAsia" w:ascii="宋体" w:hAnsi="宋体" w:eastAsia="宋体"/>
                <w:sz w:val="21"/>
                <w:szCs w:val="21"/>
                <w:highlight w:val="none"/>
              </w:rPr>
            </w:pPr>
            <w:bookmarkStart w:id="12" w:name="_Toc29877"/>
            <w:r>
              <w:rPr>
                <w:rFonts w:hint="eastAsia" w:ascii="宋体" w:hAnsi="宋体" w:eastAsia="宋体"/>
                <w:sz w:val="21"/>
                <w:szCs w:val="21"/>
                <w:highlight w:val="none"/>
              </w:rPr>
              <w:t>￥</w:t>
            </w:r>
            <w:bookmarkEnd w:id="12"/>
          </w:p>
        </w:tc>
      </w:tr>
    </w:tbl>
    <w:p w14:paraId="473C091E">
      <w:pPr>
        <w:pStyle w:val="7"/>
        <w:spacing w:before="120" w:beforeLines="50" w:line="360" w:lineRule="auto"/>
        <w:ind w:firstLine="452" w:firstLineChars="150"/>
        <w:outlineLvl w:val="1"/>
        <w:rPr>
          <w:rFonts w:hint="eastAsia" w:ascii="Calibri" w:hAnsi="Calibri" w:eastAsia="宋体" w:cs="宋体"/>
          <w:b/>
          <w:sz w:val="30"/>
          <w:szCs w:val="30"/>
          <w:highlight w:val="none"/>
        </w:rPr>
      </w:pPr>
      <w:r>
        <w:rPr>
          <w:rFonts w:hint="eastAsia" w:ascii="Calibri" w:hAnsi="Calibri" w:eastAsia="宋体" w:cs="宋体"/>
          <w:b/>
          <w:sz w:val="30"/>
          <w:szCs w:val="30"/>
          <w:highlight w:val="none"/>
        </w:rPr>
        <w:t>第二条 合同价款</w:t>
      </w:r>
      <w:bookmarkEnd w:id="3"/>
    </w:p>
    <w:p w14:paraId="4D663D63">
      <w:pPr>
        <w:spacing w:before="0" w:after="0" w:line="360" w:lineRule="auto"/>
        <w:ind w:firstLine="516" w:firstLineChars="246"/>
        <w:outlineLvl w:val="9"/>
        <w:rPr>
          <w:rFonts w:hint="eastAsia" w:ascii="宋体" w:hAnsi="宋体" w:eastAsia="宋体"/>
          <w:b w:val="0"/>
          <w:sz w:val="21"/>
          <w:szCs w:val="21"/>
          <w:highlight w:val="none"/>
        </w:rPr>
      </w:pPr>
      <w:r>
        <w:rPr>
          <w:rFonts w:hint="eastAsia" w:ascii="宋体" w:hAnsi="宋体" w:eastAsia="宋体"/>
          <w:b w:val="0"/>
          <w:sz w:val="21"/>
          <w:szCs w:val="21"/>
          <w:highlight w:val="none"/>
        </w:rPr>
        <w:t>1.合同总价：人民币（大写）</w:t>
      </w:r>
      <w:r>
        <w:rPr>
          <w:rFonts w:hint="eastAsia" w:ascii="宋体" w:hAnsi="宋体" w:eastAsia="宋体"/>
          <w:b w:val="0"/>
          <w:sz w:val="21"/>
          <w:szCs w:val="21"/>
          <w:highlight w:val="none"/>
          <w:u w:val="single"/>
        </w:rPr>
        <w:t xml:space="preserve">                 </w:t>
      </w:r>
      <w:r>
        <w:rPr>
          <w:rFonts w:hint="eastAsia" w:ascii="宋体" w:hAnsi="宋体" w:eastAsia="宋体"/>
          <w:b w:val="0"/>
          <w:sz w:val="21"/>
          <w:szCs w:val="21"/>
          <w:highlight w:val="none"/>
        </w:rPr>
        <w:t xml:space="preserve"> 元，（￥</w:t>
      </w:r>
      <w:r>
        <w:rPr>
          <w:rFonts w:hint="eastAsia" w:ascii="宋体" w:hAnsi="宋体" w:eastAsia="宋体"/>
          <w:b w:val="0"/>
          <w:sz w:val="21"/>
          <w:szCs w:val="21"/>
          <w:highlight w:val="none"/>
          <w:u w:val="single"/>
        </w:rPr>
        <w:t xml:space="preserve">           </w:t>
      </w:r>
      <w:r>
        <w:rPr>
          <w:rFonts w:hint="eastAsia" w:ascii="宋体" w:hAnsi="宋体" w:eastAsia="宋体"/>
          <w:b w:val="0"/>
          <w:sz w:val="21"/>
          <w:szCs w:val="21"/>
          <w:highlight w:val="none"/>
        </w:rPr>
        <w:t xml:space="preserve"> ）。</w:t>
      </w:r>
    </w:p>
    <w:p w14:paraId="21F9F4D7">
      <w:pPr>
        <w:spacing w:before="0" w:after="0" w:line="360" w:lineRule="auto"/>
        <w:ind w:firstLine="516" w:firstLineChars="246"/>
        <w:outlineLvl w:val="9"/>
        <w:rPr>
          <w:rFonts w:hint="eastAsia" w:ascii="宋体" w:hAnsi="宋体" w:eastAsia="宋体"/>
          <w:b w:val="0"/>
          <w:sz w:val="21"/>
          <w:szCs w:val="21"/>
          <w:highlight w:val="none"/>
        </w:rPr>
      </w:pPr>
      <w:r>
        <w:rPr>
          <w:rFonts w:hint="eastAsia" w:ascii="宋体" w:hAnsi="宋体" w:eastAsia="宋体"/>
          <w:b w:val="0"/>
          <w:sz w:val="21"/>
          <w:szCs w:val="21"/>
          <w:highlight w:val="none"/>
        </w:rPr>
        <w:t>2.本合同总价是货物（产品）设计、材料、制造、包装、运输、</w:t>
      </w:r>
      <w:r>
        <w:rPr>
          <w:rFonts w:hint="eastAsia" w:ascii="宋体" w:hAnsi="宋体"/>
          <w:b w:val="0"/>
          <w:sz w:val="21"/>
          <w:szCs w:val="21"/>
          <w:highlight w:val="none"/>
          <w:lang w:val="en-US" w:eastAsia="zh-CN"/>
        </w:rPr>
        <w:t>装卸</w:t>
      </w:r>
      <w:r>
        <w:rPr>
          <w:rFonts w:hint="eastAsia" w:ascii="宋体" w:hAnsi="宋体" w:eastAsia="宋体"/>
          <w:b w:val="0"/>
          <w:sz w:val="21"/>
          <w:szCs w:val="21"/>
          <w:highlight w:val="none"/>
        </w:rPr>
        <w:t>、检测、验收合格交付使用之前及保修期内保修服务与备用物件等其他有关各项的含税费用。</w:t>
      </w:r>
    </w:p>
    <w:p w14:paraId="548DB915">
      <w:pPr>
        <w:spacing w:before="0" w:after="0" w:line="360" w:lineRule="auto"/>
        <w:ind w:firstLine="516" w:firstLineChars="246"/>
        <w:outlineLvl w:val="9"/>
        <w:rPr>
          <w:rFonts w:hint="eastAsia" w:ascii="宋体" w:hAnsi="宋体" w:eastAsia="宋体"/>
          <w:b w:val="0"/>
          <w:sz w:val="21"/>
          <w:szCs w:val="21"/>
          <w:highlight w:val="none"/>
        </w:rPr>
      </w:pPr>
      <w:r>
        <w:rPr>
          <w:rFonts w:hint="eastAsia" w:ascii="宋体" w:hAnsi="宋体" w:eastAsia="宋体"/>
          <w:b w:val="0"/>
          <w:sz w:val="21"/>
          <w:szCs w:val="21"/>
          <w:highlight w:val="none"/>
        </w:rPr>
        <w:t>3.本合同总价还包含乙方应当提供的伴随服务和售后服务费用。</w:t>
      </w:r>
    </w:p>
    <w:p w14:paraId="1D1A7EAE">
      <w:pPr>
        <w:spacing w:before="0" w:after="0" w:line="360" w:lineRule="auto"/>
        <w:ind w:firstLine="516" w:firstLineChars="246"/>
        <w:outlineLvl w:val="9"/>
        <w:rPr>
          <w:rFonts w:hint="eastAsia" w:ascii="宋体" w:hAnsi="宋体" w:eastAsia="宋体"/>
          <w:b w:val="0"/>
          <w:sz w:val="21"/>
          <w:szCs w:val="21"/>
          <w:highlight w:val="none"/>
        </w:rPr>
      </w:pPr>
      <w:r>
        <w:rPr>
          <w:rFonts w:hint="eastAsia" w:ascii="宋体" w:hAnsi="宋体" w:eastAsia="宋体"/>
          <w:b w:val="0"/>
          <w:sz w:val="21"/>
          <w:szCs w:val="21"/>
          <w:highlight w:val="none"/>
        </w:rPr>
        <w:t>4.本合同执行期间合同总价不变，甲方无须另向乙方支付本合同规定之外的其他任何费用。</w:t>
      </w:r>
    </w:p>
    <w:p w14:paraId="7B8A99DE">
      <w:pPr>
        <w:pStyle w:val="7"/>
        <w:spacing w:before="120" w:beforeLines="50" w:after="120" w:afterLines="50" w:line="360" w:lineRule="auto"/>
        <w:ind w:firstLine="500" w:firstLineChars="166"/>
        <w:outlineLvl w:val="1"/>
        <w:rPr>
          <w:rFonts w:hint="eastAsia" w:ascii="宋体" w:hAnsi="宋体" w:eastAsia="宋体" w:cs="宋体"/>
          <w:b/>
          <w:sz w:val="30"/>
          <w:szCs w:val="30"/>
          <w:highlight w:val="none"/>
        </w:rPr>
      </w:pPr>
      <w:bookmarkStart w:id="13" w:name="_Toc6491"/>
      <w:r>
        <w:rPr>
          <w:rFonts w:hint="eastAsia" w:ascii="宋体" w:hAnsi="宋体" w:eastAsia="宋体" w:cs="宋体"/>
          <w:b/>
          <w:sz w:val="30"/>
          <w:szCs w:val="30"/>
          <w:highlight w:val="none"/>
        </w:rPr>
        <w:t>第三条 货款支付</w:t>
      </w:r>
      <w:bookmarkEnd w:id="13"/>
    </w:p>
    <w:p w14:paraId="3E2E5CB2">
      <w:pPr>
        <w:pStyle w:val="7"/>
        <w:spacing w:line="360" w:lineRule="auto"/>
        <w:ind w:firstLine="525" w:firstLineChars="250"/>
        <w:rPr>
          <w:rFonts w:hint="eastAsia" w:ascii="宋体" w:hAnsi="宋体"/>
          <w:sz w:val="21"/>
          <w:szCs w:val="21"/>
          <w:highlight w:val="none"/>
        </w:rPr>
      </w:pPr>
      <w:r>
        <w:rPr>
          <w:rFonts w:hint="eastAsia" w:ascii="宋体" w:hAnsi="宋体"/>
          <w:sz w:val="21"/>
          <w:szCs w:val="21"/>
          <w:highlight w:val="none"/>
          <w:lang w:val="en-US" w:eastAsia="zh-CN"/>
        </w:rPr>
        <w:t>1、</w:t>
      </w:r>
      <w:r>
        <w:rPr>
          <w:rFonts w:hint="eastAsia" w:ascii="宋体" w:hAnsi="宋体"/>
          <w:sz w:val="21"/>
          <w:szCs w:val="21"/>
          <w:highlight w:val="none"/>
        </w:rPr>
        <w:t>货物（产品）按下列比例支付价款：</w:t>
      </w:r>
    </w:p>
    <w:p w14:paraId="7AC15FEF">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rPr>
        <w:t>1</w:t>
      </w:r>
      <w:r>
        <w:rPr>
          <w:rFonts w:hint="eastAsia" w:ascii="宋体" w:hAnsi="宋体"/>
          <w:sz w:val="21"/>
          <w:szCs w:val="21"/>
          <w:highlight w:val="none"/>
          <w:lang w:val="en-US" w:eastAsia="zh-CN"/>
        </w:rPr>
        <w:t>.</w:t>
      </w:r>
      <w:r>
        <w:rPr>
          <w:rFonts w:hint="eastAsia" w:ascii="宋体" w:hAnsi="宋体"/>
          <w:sz w:val="21"/>
          <w:szCs w:val="21"/>
          <w:highlight w:val="none"/>
        </w:rPr>
        <w:t xml:space="preserve"> 付款条件说明：合同签订后，达到付款条件起</w:t>
      </w:r>
      <w:r>
        <w:rPr>
          <w:rFonts w:hint="eastAsia" w:ascii="宋体" w:hAnsi="宋体"/>
          <w:sz w:val="21"/>
          <w:szCs w:val="21"/>
          <w:highlight w:val="none"/>
          <w:lang w:val="en-US" w:eastAsia="zh-CN"/>
        </w:rPr>
        <w:t>10</w:t>
      </w:r>
      <w:r>
        <w:rPr>
          <w:rFonts w:hint="eastAsia" w:ascii="宋体" w:hAnsi="宋体"/>
          <w:sz w:val="21"/>
          <w:szCs w:val="21"/>
          <w:highlight w:val="none"/>
        </w:rPr>
        <w:t>日内，支付合同总金额的 80.00%。</w:t>
      </w:r>
    </w:p>
    <w:p w14:paraId="47BF4178">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rPr>
        <w:t>2</w:t>
      </w:r>
      <w:r>
        <w:rPr>
          <w:rFonts w:hint="eastAsia" w:ascii="宋体" w:hAnsi="宋体"/>
          <w:sz w:val="21"/>
          <w:szCs w:val="21"/>
          <w:highlight w:val="none"/>
          <w:lang w:val="en-US" w:eastAsia="zh-CN"/>
        </w:rPr>
        <w:t>.</w:t>
      </w:r>
      <w:r>
        <w:rPr>
          <w:rFonts w:hint="eastAsia" w:ascii="宋体" w:hAnsi="宋体"/>
          <w:sz w:val="21"/>
          <w:szCs w:val="21"/>
          <w:highlight w:val="none"/>
        </w:rPr>
        <w:t xml:space="preserve"> 付款条件说明：货物供货完成，甲方验收合格后，达到付款条件起</w:t>
      </w:r>
      <w:r>
        <w:rPr>
          <w:rFonts w:hint="eastAsia" w:ascii="宋体" w:hAnsi="宋体"/>
          <w:sz w:val="21"/>
          <w:szCs w:val="21"/>
          <w:highlight w:val="none"/>
          <w:lang w:val="en-US" w:eastAsia="zh-CN"/>
        </w:rPr>
        <w:t>10</w:t>
      </w:r>
      <w:r>
        <w:rPr>
          <w:rFonts w:hint="eastAsia" w:ascii="宋体" w:hAnsi="宋体"/>
          <w:sz w:val="21"/>
          <w:szCs w:val="21"/>
          <w:highlight w:val="none"/>
        </w:rPr>
        <w:t>日内，支付合同总金额的20.00%。</w:t>
      </w:r>
    </w:p>
    <w:p w14:paraId="13EB9CF0">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lang w:val="en-US" w:eastAsia="zh-CN"/>
        </w:rPr>
        <w:t>3</w:t>
      </w:r>
      <w:r>
        <w:rPr>
          <w:rFonts w:hint="eastAsia" w:ascii="宋体" w:hAnsi="宋体"/>
          <w:sz w:val="21"/>
          <w:szCs w:val="21"/>
          <w:highlight w:val="none"/>
        </w:rPr>
        <w:t>.乙方须向甲方出具合法有效的完税发票，甲方进行支付结算。</w:t>
      </w:r>
    </w:p>
    <w:p w14:paraId="6E12F9B9">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lang w:val="en-US" w:eastAsia="zh-CN"/>
        </w:rPr>
        <w:t>4</w:t>
      </w:r>
      <w:r>
        <w:rPr>
          <w:rFonts w:hint="eastAsia" w:ascii="宋体" w:hAnsi="宋体"/>
          <w:sz w:val="21"/>
          <w:szCs w:val="21"/>
          <w:highlight w:val="none"/>
        </w:rPr>
        <w:t>.结算方式：银行转账。</w:t>
      </w:r>
    </w:p>
    <w:p w14:paraId="31458E1A">
      <w:pPr>
        <w:pStyle w:val="7"/>
        <w:spacing w:before="120" w:beforeLines="50" w:after="120" w:afterLines="50" w:line="360" w:lineRule="auto"/>
        <w:ind w:firstLine="500" w:firstLineChars="166"/>
        <w:outlineLvl w:val="1"/>
        <w:rPr>
          <w:rFonts w:hint="eastAsia" w:ascii="宋体" w:hAnsi="宋体"/>
          <w:b/>
          <w:sz w:val="30"/>
          <w:szCs w:val="30"/>
          <w:highlight w:val="none"/>
        </w:rPr>
      </w:pPr>
      <w:bookmarkStart w:id="14" w:name="_Toc25139"/>
      <w:r>
        <w:rPr>
          <w:rFonts w:hint="eastAsia" w:ascii="宋体" w:hAnsi="宋体"/>
          <w:b/>
          <w:sz w:val="30"/>
          <w:szCs w:val="30"/>
          <w:highlight w:val="none"/>
        </w:rPr>
        <w:t>第四条 交货时间与地点</w:t>
      </w:r>
      <w:bookmarkEnd w:id="14"/>
    </w:p>
    <w:p w14:paraId="0F17534C">
      <w:pPr>
        <w:pStyle w:val="7"/>
        <w:spacing w:line="360" w:lineRule="auto"/>
        <w:ind w:firstLine="561" w:firstLineChars="0"/>
        <w:rPr>
          <w:rFonts w:hint="eastAsia" w:ascii="宋体" w:hAnsi="宋体"/>
          <w:sz w:val="21"/>
          <w:szCs w:val="21"/>
          <w:highlight w:val="none"/>
        </w:rPr>
      </w:pPr>
      <w:r>
        <w:rPr>
          <w:rFonts w:hint="eastAsia" w:ascii="宋体" w:hAnsi="宋体"/>
          <w:sz w:val="21"/>
          <w:szCs w:val="21"/>
          <w:highlight w:val="none"/>
        </w:rPr>
        <w:t>乙方在合同签订生效之日起，按甲方指定时间、地点交货。</w:t>
      </w:r>
    </w:p>
    <w:p w14:paraId="72CEE7DD">
      <w:pPr>
        <w:pStyle w:val="7"/>
        <w:numPr>
          <w:ilvl w:val="0"/>
          <w:numId w:val="1"/>
        </w:numPr>
        <w:spacing w:line="360" w:lineRule="auto"/>
        <w:ind w:firstLine="561"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交货时间（交货期）：自合同签订之日起</w:t>
      </w:r>
      <w:r>
        <w:rPr>
          <w:rFonts w:hint="eastAsia" w:ascii="宋体" w:hAnsi="宋体" w:cs="宋体"/>
          <w:sz w:val="21"/>
          <w:szCs w:val="21"/>
          <w:highlight w:val="none"/>
          <w:u w:val="single"/>
          <w:lang w:val="en-US" w:eastAsia="zh-CN"/>
        </w:rPr>
        <w:t xml:space="preserve">      </w:t>
      </w:r>
      <w:r>
        <w:rPr>
          <w:rFonts w:hint="eastAsia" w:ascii="宋体" w:hAnsi="宋体" w:eastAsia="宋体" w:cs="宋体"/>
          <w:sz w:val="21"/>
          <w:szCs w:val="21"/>
          <w:highlight w:val="none"/>
        </w:rPr>
        <w:t>日历天。</w:t>
      </w:r>
    </w:p>
    <w:p w14:paraId="0F1A2CE1">
      <w:pPr>
        <w:pStyle w:val="7"/>
        <w:numPr>
          <w:ilvl w:val="0"/>
          <w:numId w:val="1"/>
        </w:numPr>
        <w:spacing w:line="360" w:lineRule="auto"/>
        <w:ind w:firstLine="561" w:firstLineChars="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交货地点：</w:t>
      </w:r>
      <w:r>
        <w:rPr>
          <w:rFonts w:hint="eastAsia" w:ascii="宋体" w:hAnsi="宋体" w:cs="宋体"/>
          <w:sz w:val="21"/>
          <w:szCs w:val="21"/>
          <w:highlight w:val="none"/>
          <w:lang w:val="en-US" w:eastAsia="zh-CN"/>
        </w:rPr>
        <w:t>采购人指定地点。</w:t>
      </w:r>
    </w:p>
    <w:p w14:paraId="7869EF80">
      <w:pPr>
        <w:pStyle w:val="7"/>
        <w:spacing w:before="120" w:beforeLines="50" w:after="120" w:afterLines="50" w:line="360" w:lineRule="auto"/>
        <w:ind w:firstLine="500" w:firstLineChars="166"/>
        <w:outlineLvl w:val="1"/>
        <w:rPr>
          <w:rFonts w:hint="eastAsia" w:ascii="宋体" w:hAnsi="宋体"/>
          <w:b/>
          <w:sz w:val="30"/>
          <w:szCs w:val="30"/>
          <w:highlight w:val="none"/>
        </w:rPr>
      </w:pPr>
      <w:bookmarkStart w:id="15" w:name="_Toc29408"/>
      <w:r>
        <w:rPr>
          <w:rFonts w:hint="eastAsia" w:ascii="宋体" w:hAnsi="宋体"/>
          <w:b/>
          <w:sz w:val="30"/>
          <w:szCs w:val="30"/>
          <w:highlight w:val="none"/>
        </w:rPr>
        <w:t>第五条 质量保证</w:t>
      </w:r>
      <w:bookmarkEnd w:id="15"/>
      <w:bookmarkStart w:id="26" w:name="_GoBack"/>
      <w:bookmarkEnd w:id="26"/>
    </w:p>
    <w:p w14:paraId="17AA4C95">
      <w:pPr>
        <w:pStyle w:val="7"/>
        <w:spacing w:line="360" w:lineRule="auto"/>
        <w:ind w:firstLine="630" w:firstLineChars="300"/>
        <w:rPr>
          <w:rFonts w:hint="eastAsia" w:ascii="宋体" w:hAnsi="宋体"/>
          <w:sz w:val="21"/>
          <w:szCs w:val="21"/>
          <w:highlight w:val="none"/>
        </w:rPr>
      </w:pPr>
      <w:bookmarkStart w:id="16" w:name="_Toc21612"/>
      <w:r>
        <w:rPr>
          <w:rFonts w:hint="eastAsia" w:ascii="宋体" w:hAnsi="宋体"/>
          <w:sz w:val="21"/>
          <w:szCs w:val="21"/>
          <w:highlight w:val="none"/>
          <w:lang w:val="en-US" w:eastAsia="zh-CN"/>
        </w:rPr>
        <w:t>1</w:t>
      </w:r>
      <w:r>
        <w:rPr>
          <w:rFonts w:hint="eastAsia" w:ascii="宋体" w:hAnsi="宋体"/>
          <w:sz w:val="21"/>
          <w:szCs w:val="21"/>
          <w:highlight w:val="none"/>
        </w:rPr>
        <w:t>、</w:t>
      </w:r>
      <w:r>
        <w:rPr>
          <w:rFonts w:hint="eastAsia" w:ascii="宋体" w:hAnsi="宋体"/>
          <w:sz w:val="21"/>
          <w:szCs w:val="21"/>
          <w:highlight w:val="none"/>
          <w:lang w:val="en-US" w:eastAsia="zh-CN"/>
        </w:rPr>
        <w:t>要求中标方提供的货物保质保量符合招标要求的相关标准</w:t>
      </w:r>
      <w:r>
        <w:rPr>
          <w:rFonts w:hint="eastAsia" w:ascii="宋体" w:hAnsi="宋体"/>
          <w:sz w:val="21"/>
          <w:szCs w:val="21"/>
          <w:highlight w:val="none"/>
        </w:rPr>
        <w:t>。</w:t>
      </w:r>
    </w:p>
    <w:p w14:paraId="3FF62122">
      <w:pPr>
        <w:pStyle w:val="7"/>
        <w:spacing w:before="120" w:beforeLines="50" w:after="120" w:afterLines="50" w:line="360" w:lineRule="auto"/>
        <w:ind w:firstLine="602"/>
        <w:outlineLvl w:val="1"/>
        <w:rPr>
          <w:rFonts w:hint="eastAsia" w:ascii="宋体" w:hAnsi="宋体"/>
          <w:b/>
          <w:sz w:val="30"/>
          <w:szCs w:val="30"/>
          <w:highlight w:val="none"/>
        </w:rPr>
      </w:pPr>
      <w:r>
        <w:rPr>
          <w:rFonts w:hint="eastAsia" w:ascii="宋体" w:hAnsi="宋体"/>
          <w:b/>
          <w:sz w:val="30"/>
          <w:szCs w:val="30"/>
          <w:highlight w:val="none"/>
        </w:rPr>
        <w:t>第六条 权利保证</w:t>
      </w:r>
      <w:bookmarkEnd w:id="16"/>
    </w:p>
    <w:p w14:paraId="77267EEE">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1.乙方保证对其出售的货物享有合法的权利。</w:t>
      </w:r>
    </w:p>
    <w:p w14:paraId="5E6CEAE8">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2.乙方保证对其出售的货物上不存在任何未曾向甲方透露的担保物权，如抵押权、质押权、留置权。</w:t>
      </w:r>
    </w:p>
    <w:p w14:paraId="6448EFD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3.乙方保证对其出售的货物或其任何一部分没有侵犯第三方的专利权、版权、商标权或其他权利。</w:t>
      </w:r>
    </w:p>
    <w:p w14:paraId="67215091">
      <w:pPr>
        <w:pStyle w:val="7"/>
        <w:spacing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rPr>
        <w:t>4.如甲方在使用该货物构成上述侵权的，则由乙方承担全部责任。</w:t>
      </w:r>
    </w:p>
    <w:p w14:paraId="1030EC16">
      <w:pPr>
        <w:pStyle w:val="7"/>
        <w:spacing w:before="120" w:beforeLines="50" w:after="120" w:afterLines="50" w:line="360" w:lineRule="auto"/>
        <w:ind w:firstLine="500" w:firstLineChars="166"/>
        <w:outlineLvl w:val="1"/>
        <w:rPr>
          <w:rFonts w:hint="eastAsia" w:ascii="宋体" w:hAnsi="宋体"/>
          <w:sz w:val="30"/>
          <w:szCs w:val="30"/>
          <w:highlight w:val="none"/>
        </w:rPr>
      </w:pPr>
      <w:bookmarkStart w:id="17" w:name="_Toc13688"/>
      <w:r>
        <w:rPr>
          <w:rFonts w:hint="eastAsia" w:ascii="宋体" w:hAnsi="宋体"/>
          <w:b/>
          <w:sz w:val="30"/>
          <w:szCs w:val="30"/>
          <w:highlight w:val="none"/>
        </w:rPr>
        <w:t>第七条 包装要求与运输方式</w:t>
      </w:r>
      <w:bookmarkEnd w:id="17"/>
      <w:r>
        <w:rPr>
          <w:rFonts w:hint="eastAsia" w:ascii="宋体" w:hAnsi="宋体"/>
          <w:b/>
          <w:sz w:val="30"/>
          <w:szCs w:val="30"/>
          <w:highlight w:val="none"/>
        </w:rPr>
        <w:t xml:space="preserve">  </w:t>
      </w:r>
      <w:r>
        <w:rPr>
          <w:rFonts w:hint="eastAsia" w:ascii="宋体" w:hAnsi="宋体"/>
          <w:sz w:val="30"/>
          <w:szCs w:val="30"/>
          <w:highlight w:val="none"/>
        </w:rPr>
        <w:t xml:space="preserve"> </w:t>
      </w:r>
    </w:p>
    <w:p w14:paraId="7F1D24F0">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1.除合同另有规定外，乙方提供的全部货物均应按标准保护措施进行包装，该包装应适应于远距离运输、防潮、防震、防锈和防野蛮装卸，以确保货物安全运抵指定地点。</w:t>
      </w:r>
    </w:p>
    <w:p w14:paraId="75E8C5C0">
      <w:pPr>
        <w:pStyle w:val="7"/>
        <w:spacing w:line="360" w:lineRule="auto"/>
        <w:ind w:left="141" w:leftChars="67" w:firstLine="315" w:firstLineChars="150"/>
        <w:rPr>
          <w:rFonts w:hint="eastAsia" w:ascii="宋体" w:hAnsi="宋体"/>
          <w:sz w:val="21"/>
          <w:szCs w:val="21"/>
          <w:highlight w:val="none"/>
        </w:rPr>
      </w:pPr>
      <w:bookmarkStart w:id="18" w:name="_Toc32757"/>
      <w:r>
        <w:rPr>
          <w:rFonts w:hint="eastAsia" w:ascii="宋体" w:hAnsi="宋体"/>
          <w:sz w:val="21"/>
          <w:szCs w:val="21"/>
          <w:highlight w:val="none"/>
          <w:lang w:val="en-US" w:eastAsia="zh-CN"/>
        </w:rPr>
        <w:t>2.</w:t>
      </w:r>
      <w:r>
        <w:rPr>
          <w:rFonts w:hint="eastAsia" w:ascii="宋体" w:hAnsi="宋体"/>
          <w:sz w:val="21"/>
          <w:szCs w:val="21"/>
          <w:highlight w:val="none"/>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3685927D">
      <w:pPr>
        <w:pStyle w:val="7"/>
        <w:spacing w:before="120" w:beforeLines="50" w:after="120" w:afterLines="50" w:line="360" w:lineRule="auto"/>
        <w:ind w:firstLine="349" w:firstLineChars="116"/>
        <w:outlineLvl w:val="1"/>
        <w:rPr>
          <w:rFonts w:hint="eastAsia" w:ascii="宋体" w:hAnsi="宋体"/>
          <w:sz w:val="30"/>
          <w:szCs w:val="30"/>
          <w:highlight w:val="none"/>
        </w:rPr>
      </w:pPr>
      <w:r>
        <w:rPr>
          <w:rFonts w:hint="eastAsia" w:ascii="宋体" w:hAnsi="宋体"/>
          <w:b/>
          <w:sz w:val="30"/>
          <w:szCs w:val="30"/>
          <w:highlight w:val="none"/>
        </w:rPr>
        <w:t>第八条 货物验收</w:t>
      </w:r>
      <w:bookmarkEnd w:id="18"/>
    </w:p>
    <w:p w14:paraId="073F4F74">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1.货物验收由甲方组织，乙方配合，并按下列程序进行：</w:t>
      </w:r>
    </w:p>
    <w:p w14:paraId="7CE3655B">
      <w:pPr>
        <w:pStyle w:val="7"/>
        <w:spacing w:line="360" w:lineRule="auto"/>
        <w:ind w:firstLine="420"/>
        <w:rPr>
          <w:rFonts w:hint="eastAsia" w:ascii="宋体" w:hAnsi="宋体"/>
          <w:sz w:val="21"/>
          <w:szCs w:val="21"/>
          <w:highlight w:val="none"/>
        </w:rPr>
      </w:pPr>
      <w:r>
        <w:rPr>
          <w:rFonts w:hint="eastAsia" w:ascii="宋体" w:hAnsi="宋体"/>
          <w:sz w:val="21"/>
          <w:szCs w:val="21"/>
          <w:highlight w:val="none"/>
          <w:lang w:val="en-US" w:eastAsia="zh-CN"/>
        </w:rPr>
        <w:t>1、</w:t>
      </w:r>
      <w:r>
        <w:rPr>
          <w:rFonts w:hint="eastAsia" w:ascii="宋体" w:hAnsi="宋体"/>
          <w:sz w:val="21"/>
          <w:szCs w:val="21"/>
          <w:highlight w:val="none"/>
        </w:rPr>
        <w:t xml:space="preserve">服务期满后，由乙方向甲方递交验收通知书，经甲方确 认后，组织乙方进行系统验收。 验收合格后，填写政府采购项目验收单作为对本次服务的最终认可。 </w:t>
      </w:r>
    </w:p>
    <w:p w14:paraId="23A3DCD3">
      <w:pPr>
        <w:pStyle w:val="7"/>
        <w:numPr>
          <w:ilvl w:val="0"/>
          <w:numId w:val="2"/>
        </w:numPr>
        <w:spacing w:line="360" w:lineRule="auto"/>
        <w:ind w:firstLine="420"/>
        <w:rPr>
          <w:rFonts w:hint="eastAsia" w:ascii="宋体" w:hAnsi="宋体"/>
          <w:sz w:val="21"/>
          <w:szCs w:val="21"/>
          <w:highlight w:val="none"/>
        </w:rPr>
      </w:pPr>
      <w:r>
        <w:rPr>
          <w:rFonts w:hint="eastAsia" w:ascii="宋体" w:hAnsi="宋体"/>
          <w:sz w:val="21"/>
          <w:szCs w:val="21"/>
          <w:highlight w:val="none"/>
        </w:rPr>
        <w:t>验收不合格的中标单位，必须在接到通知后7个日历日内确保货物通过验收。如接到通知后7个日历日内验收仍不合格，采购人可提出索赔或取消其供货合同。采购人可以按照评审报告推荐的中标候选人名单排序，确定下一候选人为中标单位。</w:t>
      </w:r>
    </w:p>
    <w:p w14:paraId="132124FA">
      <w:pPr>
        <w:pStyle w:val="7"/>
        <w:numPr>
          <w:ilvl w:val="0"/>
          <w:numId w:val="2"/>
        </w:numPr>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 验收依据</w:t>
      </w:r>
      <w:r>
        <w:rPr>
          <w:rFonts w:hint="eastAsia" w:ascii="宋体" w:hAnsi="宋体"/>
          <w:sz w:val="21"/>
          <w:szCs w:val="21"/>
          <w:highlight w:val="none"/>
          <w:lang w:eastAsia="zh-CN"/>
        </w:rPr>
        <w:t>：</w:t>
      </w:r>
    </w:p>
    <w:p w14:paraId="7717B73A">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 xml:space="preserve">合同文本及合同补充文件（条款）； </w:t>
      </w:r>
    </w:p>
    <w:p w14:paraId="5CA25A6F">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 xml:space="preserve">产品的合法来源渠道证明文件、响应功能证明材料； </w:t>
      </w:r>
    </w:p>
    <w:p w14:paraId="7D2AC912">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 xml:space="preserve">招标文件； </w:t>
      </w:r>
    </w:p>
    <w:p w14:paraId="05C09E0D">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 xml:space="preserve">中标人的投标文件； </w:t>
      </w:r>
    </w:p>
    <w:p w14:paraId="4F2FBFF0">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 xml:space="preserve">货物清单； </w:t>
      </w:r>
    </w:p>
    <w:p w14:paraId="3964E410">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生产厂家的企业资质、货物的执行标准。</w:t>
      </w:r>
    </w:p>
    <w:p w14:paraId="340E5584">
      <w:pPr>
        <w:pStyle w:val="7"/>
        <w:spacing w:before="120" w:beforeLines="50" w:after="120" w:afterLines="50" w:line="360" w:lineRule="auto"/>
        <w:ind w:firstLine="500" w:firstLineChars="166"/>
        <w:outlineLvl w:val="1"/>
        <w:rPr>
          <w:rFonts w:hint="eastAsia"/>
          <w:b/>
          <w:sz w:val="30"/>
          <w:szCs w:val="30"/>
          <w:highlight w:val="none"/>
        </w:rPr>
      </w:pPr>
      <w:bookmarkStart w:id="19" w:name="_Toc7056"/>
      <w:r>
        <w:rPr>
          <w:rFonts w:hint="eastAsia"/>
          <w:b/>
          <w:sz w:val="30"/>
          <w:szCs w:val="30"/>
          <w:highlight w:val="none"/>
        </w:rPr>
        <w:t>第九条 售后服务</w:t>
      </w:r>
      <w:bookmarkEnd w:id="19"/>
    </w:p>
    <w:p w14:paraId="05E7B562">
      <w:pPr>
        <w:pStyle w:val="7"/>
        <w:spacing w:line="360" w:lineRule="auto"/>
        <w:ind w:firstLine="420"/>
        <w:rPr>
          <w:rFonts w:hint="eastAsia"/>
          <w:kern w:val="0"/>
          <w:sz w:val="21"/>
          <w:szCs w:val="21"/>
          <w:highlight w:val="none"/>
        </w:rPr>
      </w:pPr>
      <w:r>
        <w:rPr>
          <w:rFonts w:hint="eastAsia"/>
          <w:kern w:val="0"/>
          <w:sz w:val="21"/>
          <w:szCs w:val="21"/>
          <w:highlight w:val="none"/>
        </w:rPr>
        <w:t>乙方应按照国家有关法律法规和“三包”规定以及磋商文件要求和响应文件的“服务承诺”提供服务。</w:t>
      </w:r>
    </w:p>
    <w:p w14:paraId="7CF969A5">
      <w:pPr>
        <w:pStyle w:val="7"/>
        <w:spacing w:before="120" w:beforeLines="50" w:after="120" w:afterLines="50" w:line="360" w:lineRule="auto"/>
        <w:ind w:firstLine="500" w:firstLineChars="166"/>
        <w:outlineLvl w:val="1"/>
        <w:rPr>
          <w:rFonts w:hint="eastAsia"/>
          <w:b/>
          <w:sz w:val="30"/>
          <w:szCs w:val="30"/>
          <w:highlight w:val="none"/>
        </w:rPr>
      </w:pPr>
      <w:bookmarkStart w:id="20" w:name="_Toc19392"/>
      <w:r>
        <w:rPr>
          <w:rFonts w:hint="eastAsia"/>
          <w:b/>
          <w:kern w:val="0"/>
          <w:sz w:val="30"/>
          <w:szCs w:val="30"/>
          <w:highlight w:val="none"/>
        </w:rPr>
        <w:t xml:space="preserve">第十条 </w:t>
      </w:r>
      <w:r>
        <w:rPr>
          <w:rFonts w:hint="eastAsia"/>
          <w:b/>
          <w:sz w:val="30"/>
          <w:szCs w:val="30"/>
          <w:highlight w:val="none"/>
        </w:rPr>
        <w:t>履约保证金</w:t>
      </w:r>
      <w:bookmarkEnd w:id="20"/>
    </w:p>
    <w:p w14:paraId="2F12C8B8">
      <w:pPr>
        <w:widowControl/>
        <w:spacing w:line="360" w:lineRule="auto"/>
        <w:ind w:firstLine="525" w:firstLineChars="250"/>
        <w:jc w:val="left"/>
        <w:rPr>
          <w:rFonts w:hint="eastAsia" w:ascii="宋体" w:hAnsi="宋体" w:eastAsia="宋体" w:cs="宋体"/>
          <w:color w:val="000000"/>
          <w:kern w:val="0"/>
          <w:szCs w:val="21"/>
          <w:highlight w:val="none"/>
          <w:lang w:eastAsia="zh-CN"/>
        </w:rPr>
      </w:pPr>
      <w:r>
        <w:rPr>
          <w:rFonts w:hint="eastAsia" w:ascii="宋体" w:hAnsi="宋体" w:cs="宋体"/>
          <w:color w:val="000000"/>
          <w:kern w:val="0"/>
          <w:szCs w:val="21"/>
          <w:highlight w:val="none"/>
        </w:rPr>
        <w:t>1.中标/成交供应商是否需要缴纳履约保证金：</w:t>
      </w:r>
      <w:r>
        <w:rPr>
          <w:rFonts w:hint="eastAsia" w:ascii="宋体" w:hAnsi="宋体" w:cs="宋体"/>
          <w:color w:val="000000"/>
          <w:kern w:val="0"/>
          <w:szCs w:val="21"/>
          <w:highlight w:val="none"/>
          <w:lang w:val="en-US" w:eastAsia="zh-CN"/>
        </w:rPr>
        <w:t>否</w:t>
      </w:r>
    </w:p>
    <w:p w14:paraId="114A54B1">
      <w:pPr>
        <w:widowControl/>
        <w:spacing w:line="360" w:lineRule="auto"/>
        <w:ind w:firstLine="525" w:firstLineChars="25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2.履约保证金的有效期为乙方承诺的货物（产品）质保期。</w:t>
      </w:r>
    </w:p>
    <w:p w14:paraId="1BD41FBF">
      <w:pPr>
        <w:widowControl/>
        <w:spacing w:line="360" w:lineRule="auto"/>
        <w:ind w:firstLine="525" w:firstLineChars="25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3.如乙方未能履行合同规定的义务，甲方有权从履约保证金中取得补偿。</w:t>
      </w:r>
    </w:p>
    <w:p w14:paraId="4ABE94FB">
      <w:pPr>
        <w:widowControl/>
        <w:spacing w:line="360" w:lineRule="auto"/>
        <w:ind w:firstLine="525" w:firstLineChars="25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4.</w:t>
      </w:r>
      <w:r>
        <w:rPr>
          <w:rFonts w:hint="eastAsia" w:ascii="宋体" w:hAnsi="宋体"/>
          <w:szCs w:val="21"/>
          <w:highlight w:val="none"/>
        </w:rPr>
        <w:t>货物（产品）质保期结束后，甲方财务部门接到甲方确认本合同货物质量与服务等约定事项已经履行完毕的正式书面文件后的</w:t>
      </w:r>
      <w:r>
        <w:rPr>
          <w:rFonts w:hint="eastAsia" w:ascii="宋体" w:hAnsi="宋体"/>
          <w:szCs w:val="21"/>
          <w:highlight w:val="none"/>
          <w:u w:val="single"/>
        </w:rPr>
        <w:t xml:space="preserve">   </w:t>
      </w:r>
      <w:r>
        <w:rPr>
          <w:rFonts w:hint="eastAsia" w:ascii="宋体" w:hAnsi="宋体"/>
          <w:szCs w:val="21"/>
          <w:highlight w:val="none"/>
        </w:rPr>
        <w:t>日内，向乙方退还履约保证金。</w:t>
      </w:r>
    </w:p>
    <w:p w14:paraId="29C4E05E">
      <w:pPr>
        <w:pStyle w:val="7"/>
        <w:spacing w:before="120" w:beforeLines="50" w:after="120" w:afterLines="50" w:line="360" w:lineRule="auto"/>
        <w:ind w:firstLine="500" w:firstLineChars="166"/>
        <w:outlineLvl w:val="1"/>
        <w:rPr>
          <w:rFonts w:hint="eastAsia" w:ascii="宋体" w:hAnsi="宋体"/>
          <w:sz w:val="30"/>
          <w:szCs w:val="30"/>
          <w:highlight w:val="none"/>
        </w:rPr>
      </w:pPr>
      <w:bookmarkStart w:id="21" w:name="_Toc5529"/>
      <w:r>
        <w:rPr>
          <w:rFonts w:hint="eastAsia" w:ascii="宋体" w:hAnsi="宋体"/>
          <w:b/>
          <w:sz w:val="30"/>
          <w:szCs w:val="30"/>
          <w:highlight w:val="none"/>
        </w:rPr>
        <w:t>第十一条 违约责任</w:t>
      </w:r>
      <w:bookmarkEnd w:id="21"/>
    </w:p>
    <w:p w14:paraId="750FDF26">
      <w:pPr>
        <w:pStyle w:val="7"/>
        <w:spacing w:line="360" w:lineRule="auto"/>
        <w:ind w:firstLine="525" w:firstLineChars="250"/>
        <w:rPr>
          <w:rFonts w:hint="eastAsia" w:ascii="宋体" w:hAnsi="宋体"/>
          <w:sz w:val="21"/>
          <w:szCs w:val="21"/>
          <w:highlight w:val="none"/>
        </w:rPr>
      </w:pPr>
      <w:r>
        <w:rPr>
          <w:rFonts w:hint="eastAsia" w:ascii="宋体" w:hAnsi="宋体"/>
          <w:sz w:val="21"/>
          <w:szCs w:val="21"/>
          <w:highlight w:val="none"/>
        </w:rPr>
        <w:t>1.甲方违约责任</w:t>
      </w:r>
    </w:p>
    <w:p w14:paraId="621B36F4">
      <w:pPr>
        <w:pStyle w:val="7"/>
        <w:spacing w:line="360" w:lineRule="auto"/>
        <w:ind w:firstLine="359" w:firstLineChars="171"/>
        <w:rPr>
          <w:rFonts w:hint="eastAsia" w:ascii="宋体" w:hAnsi="宋体"/>
          <w:sz w:val="21"/>
          <w:szCs w:val="21"/>
          <w:highlight w:val="none"/>
        </w:rPr>
      </w:pPr>
      <w:r>
        <w:rPr>
          <w:rFonts w:hint="eastAsia" w:ascii="宋体" w:hAnsi="宋体"/>
          <w:sz w:val="21"/>
          <w:szCs w:val="21"/>
          <w:highlight w:val="none"/>
        </w:rPr>
        <w:t>（1）甲方无正当理由拒收货物的，甲方应偿付合同总价</w:t>
      </w:r>
      <w:r>
        <w:rPr>
          <w:rFonts w:hint="eastAsia" w:ascii="宋体" w:hAnsi="宋体"/>
          <w:sz w:val="21"/>
          <w:szCs w:val="21"/>
          <w:highlight w:val="none"/>
          <w:u w:val="single"/>
        </w:rPr>
        <w:t xml:space="preserve"> </w:t>
      </w:r>
      <w:r>
        <w:rPr>
          <w:rFonts w:hint="eastAsia" w:ascii="宋体" w:hAnsi="宋体"/>
          <w:sz w:val="21"/>
          <w:szCs w:val="21"/>
          <w:highlight w:val="none"/>
        </w:rPr>
        <w:t xml:space="preserve"> %的违约金；</w:t>
      </w:r>
    </w:p>
    <w:p w14:paraId="0F374E30">
      <w:pPr>
        <w:pStyle w:val="7"/>
        <w:spacing w:line="360" w:lineRule="auto"/>
        <w:ind w:firstLine="359" w:firstLineChars="171"/>
        <w:rPr>
          <w:rFonts w:hint="eastAsia" w:ascii="宋体" w:hAnsi="宋体"/>
          <w:sz w:val="21"/>
          <w:szCs w:val="21"/>
          <w:highlight w:val="none"/>
        </w:rPr>
      </w:pPr>
      <w:r>
        <w:rPr>
          <w:rFonts w:hint="eastAsia" w:ascii="宋体" w:hAnsi="宋体"/>
          <w:sz w:val="21"/>
          <w:szCs w:val="21"/>
          <w:highlight w:val="none"/>
        </w:rPr>
        <w:t>（2）甲方逾期支付货款的，除应及时付足货款外，应向乙方每天支付欠款总额</w:t>
      </w:r>
      <w:r>
        <w:rPr>
          <w:rFonts w:hint="eastAsia" w:ascii="宋体" w:hAnsi="宋体"/>
          <w:sz w:val="21"/>
          <w:szCs w:val="21"/>
          <w:highlight w:val="none"/>
          <w:u w:val="single"/>
        </w:rPr>
        <w:t xml:space="preserve">  </w:t>
      </w:r>
      <w:r>
        <w:rPr>
          <w:rFonts w:hint="eastAsia" w:ascii="宋体" w:hAnsi="宋体"/>
          <w:sz w:val="21"/>
          <w:szCs w:val="21"/>
          <w:highlight w:val="none"/>
        </w:rPr>
        <w:t xml:space="preserve"> ‰的滞纳金；但累计滞纳金总额不超过欠款总额的</w:t>
      </w:r>
      <w:r>
        <w:rPr>
          <w:rFonts w:hint="eastAsia" w:ascii="宋体" w:hAnsi="宋体"/>
          <w:sz w:val="21"/>
          <w:szCs w:val="21"/>
          <w:highlight w:val="none"/>
          <w:u w:val="single"/>
        </w:rPr>
        <w:t xml:space="preserve">  </w:t>
      </w:r>
      <w:r>
        <w:rPr>
          <w:rFonts w:hint="eastAsia" w:ascii="宋体" w:hAnsi="宋体"/>
          <w:sz w:val="21"/>
          <w:szCs w:val="21"/>
          <w:highlight w:val="none"/>
        </w:rPr>
        <w:t>%。</w:t>
      </w:r>
    </w:p>
    <w:p w14:paraId="614F7696">
      <w:pPr>
        <w:pStyle w:val="7"/>
        <w:spacing w:line="360" w:lineRule="auto"/>
        <w:ind w:firstLine="525" w:firstLineChars="250"/>
        <w:rPr>
          <w:rFonts w:hint="eastAsia" w:ascii="宋体" w:hAnsi="宋体"/>
          <w:sz w:val="21"/>
          <w:szCs w:val="21"/>
          <w:highlight w:val="none"/>
        </w:rPr>
      </w:pPr>
      <w:r>
        <w:rPr>
          <w:rFonts w:hint="eastAsia" w:ascii="宋体" w:hAnsi="宋体"/>
          <w:sz w:val="21"/>
          <w:szCs w:val="21"/>
          <w:highlight w:val="none"/>
        </w:rPr>
        <w:t>2.乙方违约责任</w:t>
      </w:r>
    </w:p>
    <w:p w14:paraId="1044DAA2">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（1）如乙方不能交付货物，甲方有权扣留全部履约保证金；同时乙方应向甲方支付合同总价</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％的违约金；</w:t>
      </w:r>
    </w:p>
    <w:p w14:paraId="2F17ADD7">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（2）乙方逾期交付货物的，每逾期1天，乙方向甲方偿付逾期交货部分货款总额的</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‰的滞纳金。如乙方逾期交货达___天，甲方有权解除合同，解除合同的通知自到达乙方时生效；</w:t>
      </w:r>
    </w:p>
    <w:p w14:paraId="17685251">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 xml:space="preserve">（3）乙方所交付的货物品种、型号、规格不符合合同规定的，甲方有权拒收。甲方拒收的，乙方应向甲方支付货款总额 </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%的违约金；</w:t>
      </w:r>
    </w:p>
    <w:p w14:paraId="55169E04">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（4）乙方货物经甲方送交具有法定资格条件的质量技术监督机构检测后，如检测结果认定货物质量不符合本合同规定标准的，则视为乙方没有按时交货而违约，乙方须在</w:t>
      </w:r>
      <w:r>
        <w:rPr>
          <w:rFonts w:hint="eastAsia" w:ascii="宋体" w:hAnsi="宋体"/>
          <w:sz w:val="21"/>
          <w:szCs w:val="21"/>
          <w:highlight w:val="none"/>
          <w:u w:val="single"/>
        </w:rPr>
        <w:t xml:space="preserve">   </w:t>
      </w:r>
      <w:r>
        <w:rPr>
          <w:rFonts w:hint="eastAsia" w:ascii="宋体" w:hAnsi="宋体"/>
          <w:sz w:val="21"/>
          <w:szCs w:val="21"/>
          <w:highlight w:val="none"/>
        </w:rPr>
        <w:t>天内无条件更换合格的货物，如逾期不能更换合格的货物，甲方有权终止本合同，乙方应另向甲方支付货款总额的</w:t>
      </w:r>
      <w:r>
        <w:rPr>
          <w:rFonts w:hint="eastAsia" w:ascii="宋体" w:hAnsi="宋体"/>
          <w:sz w:val="21"/>
          <w:szCs w:val="21"/>
          <w:highlight w:val="none"/>
          <w:u w:val="single"/>
        </w:rPr>
        <w:t xml:space="preserve">   </w:t>
      </w:r>
      <w:r>
        <w:rPr>
          <w:rFonts w:hint="eastAsia" w:ascii="宋体" w:hAnsi="宋体"/>
          <w:sz w:val="21"/>
          <w:szCs w:val="21"/>
          <w:highlight w:val="none"/>
        </w:rPr>
        <w:t>%的违约金；</w:t>
      </w:r>
    </w:p>
    <w:p w14:paraId="597B0F8D">
      <w:pPr>
        <w:pStyle w:val="7"/>
        <w:spacing w:line="360" w:lineRule="auto"/>
        <w:ind w:firstLine="420"/>
        <w:rPr>
          <w:rFonts w:hint="eastAsia" w:ascii="宋体" w:hAnsi="宋体"/>
          <w:color w:val="000000"/>
          <w:kern w:val="0"/>
          <w:sz w:val="21"/>
          <w:szCs w:val="21"/>
          <w:highlight w:val="none"/>
        </w:rPr>
      </w:pPr>
      <w:r>
        <w:rPr>
          <w:rFonts w:hint="eastAsia" w:ascii="宋体" w:hAnsi="宋体"/>
          <w:color w:val="000000"/>
          <w:kern w:val="0"/>
          <w:sz w:val="21"/>
          <w:szCs w:val="21"/>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0A3D9593">
      <w:pPr>
        <w:pStyle w:val="7"/>
        <w:spacing w:line="360" w:lineRule="auto"/>
        <w:ind w:firstLine="420"/>
        <w:rPr>
          <w:rFonts w:hint="eastAsia" w:ascii="宋体" w:hAnsi="宋体"/>
          <w:color w:val="000000"/>
          <w:kern w:val="0"/>
          <w:sz w:val="21"/>
          <w:szCs w:val="21"/>
          <w:highlight w:val="none"/>
        </w:rPr>
      </w:pPr>
      <w:r>
        <w:rPr>
          <w:rFonts w:hint="eastAsia" w:ascii="宋体" w:hAnsi="宋体"/>
          <w:color w:val="000000"/>
          <w:kern w:val="0"/>
          <w:sz w:val="21"/>
          <w:szCs w:val="21"/>
          <w:highlight w:val="none"/>
        </w:rPr>
        <w:t>（6）乙方未按本合同第十条的规定向甲方交付履约保证金的，应按应交付履约保证金的</w:t>
      </w:r>
      <w:r>
        <w:rPr>
          <w:rFonts w:hint="eastAsia" w:ascii="宋体" w:hAnsi="宋体"/>
          <w:color w:val="000000"/>
          <w:kern w:val="0"/>
          <w:sz w:val="21"/>
          <w:szCs w:val="21"/>
          <w:highlight w:val="none"/>
          <w:u w:val="single"/>
        </w:rPr>
        <w:t xml:space="preserve">  </w:t>
      </w:r>
      <w:r>
        <w:rPr>
          <w:rFonts w:hint="eastAsia" w:ascii="宋体" w:hAnsi="宋体"/>
          <w:color w:val="000000"/>
          <w:kern w:val="0"/>
          <w:sz w:val="21"/>
          <w:szCs w:val="21"/>
          <w:highlight w:val="none"/>
        </w:rPr>
        <w:t>%向甲方支付违约金，该违约金的支付不影响乙方应承担的其他违约责任；</w:t>
      </w:r>
    </w:p>
    <w:p w14:paraId="419DCE9E">
      <w:pPr>
        <w:pStyle w:val="7"/>
        <w:spacing w:line="360" w:lineRule="auto"/>
        <w:ind w:firstLine="420"/>
        <w:rPr>
          <w:rFonts w:hint="eastAsia" w:ascii="宋体" w:hAnsi="宋体"/>
          <w:color w:val="000000"/>
          <w:kern w:val="0"/>
          <w:sz w:val="21"/>
          <w:szCs w:val="21"/>
          <w:highlight w:val="none"/>
        </w:rPr>
      </w:pPr>
      <w:r>
        <w:rPr>
          <w:rFonts w:hint="eastAsia" w:ascii="宋体" w:hAnsi="宋体"/>
          <w:color w:val="000000"/>
          <w:kern w:val="0"/>
          <w:sz w:val="21"/>
          <w:szCs w:val="21"/>
          <w:highlight w:val="none"/>
        </w:rPr>
        <w:t>（7）乙方未按本合同的规定和“服务承诺”提供伴随服务/售后服务的，应按合同总价款的</w:t>
      </w:r>
      <w:r>
        <w:rPr>
          <w:rFonts w:hint="eastAsia" w:ascii="宋体" w:hAnsi="宋体"/>
          <w:color w:val="000000"/>
          <w:kern w:val="0"/>
          <w:sz w:val="21"/>
          <w:szCs w:val="21"/>
          <w:highlight w:val="none"/>
          <w:u w:val="single"/>
        </w:rPr>
        <w:t xml:space="preserve">  </w:t>
      </w:r>
      <w:r>
        <w:rPr>
          <w:rFonts w:hint="eastAsia" w:ascii="宋体" w:hAnsi="宋体"/>
          <w:color w:val="000000"/>
          <w:kern w:val="0"/>
          <w:sz w:val="21"/>
          <w:szCs w:val="21"/>
          <w:highlight w:val="none"/>
        </w:rPr>
        <w:t>%向甲方承担违约责任；</w:t>
      </w:r>
    </w:p>
    <w:p w14:paraId="57545D37">
      <w:pPr>
        <w:pStyle w:val="7"/>
        <w:spacing w:line="360" w:lineRule="auto"/>
        <w:ind w:firstLine="420"/>
        <w:rPr>
          <w:rFonts w:hint="eastAsia" w:ascii="宋体" w:hAnsi="宋体"/>
          <w:color w:val="000000"/>
          <w:kern w:val="0"/>
          <w:sz w:val="21"/>
          <w:szCs w:val="21"/>
          <w:highlight w:val="none"/>
        </w:rPr>
      </w:pPr>
      <w:r>
        <w:rPr>
          <w:rFonts w:hint="eastAsia" w:ascii="宋体" w:hAnsi="宋体"/>
          <w:color w:val="000000"/>
          <w:kern w:val="0"/>
          <w:sz w:val="21"/>
          <w:szCs w:val="21"/>
          <w:highlight w:val="none"/>
        </w:rPr>
        <w:t>（8）乙方在承担上述1-7款一项或多项违约责任后，仍应继续履行合同规定的义务（甲方解除合同的除外）。甲方未能及时追究乙方的任何一项违约责任并不表明甲方放弃追究乙方该项或其他违约责任；</w:t>
      </w:r>
    </w:p>
    <w:p w14:paraId="7BC8052F">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（9）乙方偿付的违约金不足以弥补甲方损失的，还应按甲方损失尚未弥补的部分，支付赔偿金给甲方。</w:t>
      </w:r>
    </w:p>
    <w:p w14:paraId="578C589A">
      <w:pPr>
        <w:pStyle w:val="7"/>
        <w:spacing w:line="360" w:lineRule="auto"/>
        <w:ind w:firstLine="420"/>
        <w:rPr>
          <w:rFonts w:hint="eastAsia" w:ascii="宋体" w:hAnsi="宋体"/>
          <w:sz w:val="21"/>
          <w:szCs w:val="21"/>
          <w:highlight w:val="none"/>
          <w:lang w:eastAsia="zh-CN"/>
        </w:rPr>
      </w:pPr>
      <w:r>
        <w:rPr>
          <w:rFonts w:hint="eastAsia" w:ascii="宋体" w:hAnsi="宋体"/>
          <w:sz w:val="21"/>
          <w:szCs w:val="21"/>
          <w:highlight w:val="none"/>
          <w:lang w:eastAsia="zh-CN"/>
        </w:rPr>
        <w:t>（</w:t>
      </w:r>
      <w:r>
        <w:rPr>
          <w:rFonts w:hint="eastAsia" w:ascii="宋体" w:hAnsi="宋体"/>
          <w:sz w:val="21"/>
          <w:szCs w:val="21"/>
          <w:highlight w:val="none"/>
          <w:lang w:val="en-US" w:eastAsia="zh-CN"/>
        </w:rPr>
        <w:t>10</w:t>
      </w:r>
      <w:r>
        <w:rPr>
          <w:rFonts w:hint="eastAsia" w:ascii="宋体" w:hAnsi="宋体"/>
          <w:sz w:val="21"/>
          <w:szCs w:val="21"/>
          <w:highlight w:val="none"/>
          <w:lang w:eastAsia="zh-CN"/>
        </w:rPr>
        <w:t>）依据《中华人民共和国民法典》、《中华人民共和国政府采购法》的相关条款和所签署的合同约定，乙方未全面履行合同义务或者发生违约，甲方会同采购代理机构有权终止合同，依法向乙方进行经济索赔，并报请政府采购监督管理机关进行相应的行政处罚。甲方违约的，应当赔偿给乙方造成的经济损失。</w:t>
      </w:r>
    </w:p>
    <w:p w14:paraId="71AE9CB1">
      <w:pPr>
        <w:widowControl/>
        <w:spacing w:before="120" w:beforeLines="50" w:after="120" w:afterLines="50" w:line="360" w:lineRule="auto"/>
        <w:ind w:firstLine="452" w:firstLineChars="150"/>
        <w:jc w:val="left"/>
        <w:outlineLvl w:val="1"/>
        <w:rPr>
          <w:rFonts w:hint="eastAsia" w:ascii="宋体" w:hAnsi="宋体" w:cs="宋体"/>
          <w:color w:val="000000"/>
          <w:kern w:val="0"/>
          <w:sz w:val="30"/>
          <w:szCs w:val="30"/>
          <w:highlight w:val="none"/>
        </w:rPr>
      </w:pPr>
      <w:bookmarkStart w:id="22" w:name="_Toc16002"/>
      <w:r>
        <w:rPr>
          <w:rFonts w:hint="eastAsia" w:ascii="宋体" w:hAnsi="宋体"/>
          <w:b/>
          <w:sz w:val="30"/>
          <w:szCs w:val="30"/>
          <w:highlight w:val="none"/>
        </w:rPr>
        <w:t xml:space="preserve">第十二条 </w:t>
      </w:r>
      <w:r>
        <w:rPr>
          <w:rFonts w:hint="eastAsia" w:ascii="宋体" w:hAnsi="宋体" w:cs="宋体"/>
          <w:b/>
          <w:color w:val="000000"/>
          <w:kern w:val="0"/>
          <w:sz w:val="30"/>
          <w:szCs w:val="30"/>
          <w:highlight w:val="none"/>
        </w:rPr>
        <w:t>合同的变更和终止</w:t>
      </w:r>
      <w:bookmarkEnd w:id="22"/>
    </w:p>
    <w:p w14:paraId="0ED79005">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除《中华人民共和国政府采购法》第49条、第50条第二款规定的情形外，本合同一经签订，甲乙双方不得擅自变更、中止或终止合同。</w:t>
      </w:r>
    </w:p>
    <w:p w14:paraId="00242814">
      <w:pPr>
        <w:widowControl/>
        <w:spacing w:before="120" w:beforeLines="50" w:after="120" w:afterLines="50" w:line="360" w:lineRule="auto"/>
        <w:ind w:firstLine="452" w:firstLineChars="150"/>
        <w:jc w:val="left"/>
        <w:outlineLvl w:val="1"/>
        <w:rPr>
          <w:rFonts w:hint="eastAsia" w:ascii="宋体" w:hAnsi="宋体" w:cs="宋体"/>
          <w:b/>
          <w:color w:val="000000"/>
          <w:kern w:val="0"/>
          <w:sz w:val="30"/>
          <w:szCs w:val="30"/>
          <w:highlight w:val="none"/>
        </w:rPr>
      </w:pPr>
      <w:bookmarkStart w:id="23" w:name="_Toc12126"/>
      <w:r>
        <w:rPr>
          <w:rFonts w:hint="eastAsia" w:ascii="宋体" w:hAnsi="宋体" w:cs="宋体"/>
          <w:b/>
          <w:color w:val="000000"/>
          <w:kern w:val="0"/>
          <w:sz w:val="30"/>
          <w:szCs w:val="30"/>
          <w:highlight w:val="none"/>
        </w:rPr>
        <w:t>第十三条 争议的解决</w:t>
      </w:r>
      <w:bookmarkEnd w:id="23"/>
    </w:p>
    <w:p w14:paraId="06E9D4FC">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1.因货物的质量问题发生争议，由质量技术监督部门或其指定的质量鉴定机构进行质量鉴定。货物符合标准的，鉴定费由甲方承担；货物不符合质量标准的，鉴定费由乙方承担。</w:t>
      </w:r>
    </w:p>
    <w:p w14:paraId="6892BFB0">
      <w:pPr>
        <w:pStyle w:val="7"/>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2.因履行本合同引起的或与本合同有关的争议，甲、乙双方应首先通过友好协商解决，如果协商不成，则采取以下第_</w:t>
      </w:r>
      <w:r>
        <w:rPr>
          <w:rFonts w:hint="eastAsia" w:ascii="宋体" w:hAnsi="宋体"/>
          <w:kern w:val="0"/>
          <w:sz w:val="21"/>
          <w:szCs w:val="21"/>
          <w:highlight w:val="none"/>
          <w:lang w:val="en-US" w:eastAsia="zh-CN"/>
        </w:rPr>
        <w:t>2</w:t>
      </w:r>
      <w:r>
        <w:rPr>
          <w:rFonts w:hint="eastAsia" w:ascii="宋体" w:hAnsi="宋体"/>
          <w:kern w:val="0"/>
          <w:sz w:val="21"/>
          <w:szCs w:val="21"/>
          <w:highlight w:val="none"/>
        </w:rPr>
        <w:t>_种方式解决争议：</w:t>
      </w:r>
    </w:p>
    <w:p w14:paraId="1303F423">
      <w:pPr>
        <w:pStyle w:val="7"/>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（1）向甲方所在地有管辖权的人民法院提起诉讼；</w:t>
      </w:r>
    </w:p>
    <w:p w14:paraId="3FE59336">
      <w:pPr>
        <w:pStyle w:val="7"/>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（2）向</w:t>
      </w:r>
      <w:r>
        <w:rPr>
          <w:rFonts w:hint="eastAsia" w:ascii="宋体" w:hAnsi="宋体"/>
          <w:kern w:val="0"/>
          <w:sz w:val="21"/>
          <w:szCs w:val="21"/>
          <w:highlight w:val="none"/>
          <w:u w:val="single"/>
          <w:lang w:val="en-US" w:eastAsia="zh-CN"/>
        </w:rPr>
        <w:t xml:space="preserve"> 铜川市  </w:t>
      </w:r>
      <w:r>
        <w:rPr>
          <w:rFonts w:hint="eastAsia" w:ascii="宋体" w:hAnsi="宋体"/>
          <w:kern w:val="0"/>
          <w:sz w:val="21"/>
          <w:szCs w:val="21"/>
          <w:highlight w:val="none"/>
        </w:rPr>
        <w:t>仲裁委员会按其仲裁规则申请仲裁。</w:t>
      </w:r>
    </w:p>
    <w:p w14:paraId="1371AB3F">
      <w:pPr>
        <w:pStyle w:val="7"/>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3.在仲裁期间，本合同应继续履行。</w:t>
      </w:r>
    </w:p>
    <w:p w14:paraId="4591A22D">
      <w:pPr>
        <w:snapToGrid w:val="0"/>
        <w:spacing w:before="120" w:beforeLines="50" w:after="120" w:afterLines="50" w:line="360" w:lineRule="auto"/>
        <w:ind w:firstLine="602" w:firstLineChars="200"/>
        <w:textAlignment w:val="baseline"/>
        <w:outlineLvl w:val="1"/>
        <w:rPr>
          <w:rFonts w:hint="eastAsia" w:ascii="宋体" w:hAnsi="宋体"/>
          <w:b/>
          <w:sz w:val="30"/>
          <w:szCs w:val="30"/>
          <w:highlight w:val="none"/>
        </w:rPr>
      </w:pPr>
      <w:bookmarkStart w:id="24" w:name="_Toc23861"/>
      <w:r>
        <w:rPr>
          <w:rFonts w:hint="eastAsia" w:ascii="宋体" w:hAnsi="宋体"/>
          <w:b/>
          <w:sz w:val="30"/>
          <w:szCs w:val="30"/>
          <w:highlight w:val="none"/>
        </w:rPr>
        <w:t>第十四条</w:t>
      </w:r>
      <w:r>
        <w:rPr>
          <w:rFonts w:hint="eastAsia" w:ascii="宋体" w:hAnsi="宋体"/>
          <w:sz w:val="30"/>
          <w:szCs w:val="30"/>
          <w:highlight w:val="none"/>
        </w:rPr>
        <w:t xml:space="preserve"> </w:t>
      </w:r>
      <w:r>
        <w:rPr>
          <w:rFonts w:hint="eastAsia" w:ascii="宋体" w:hAnsi="宋体"/>
          <w:b/>
          <w:sz w:val="30"/>
          <w:szCs w:val="30"/>
          <w:highlight w:val="none"/>
        </w:rPr>
        <w:t>合同文件</w:t>
      </w:r>
      <w:bookmarkEnd w:id="24"/>
    </w:p>
    <w:p w14:paraId="296EC59C">
      <w:pPr>
        <w:snapToGrid w:val="0"/>
        <w:spacing w:before="120" w:beforeLines="50" w:after="120" w:afterLines="50" w:line="360" w:lineRule="auto"/>
        <w:ind w:firstLine="420" w:firstLineChars="200"/>
        <w:textAlignment w:val="baseline"/>
        <w:rPr>
          <w:rFonts w:hint="eastAsia" w:ascii="宋体" w:hAnsi="宋体"/>
          <w:szCs w:val="21"/>
          <w:highlight w:val="none"/>
        </w:rPr>
      </w:pPr>
      <w:r>
        <w:rPr>
          <w:rFonts w:hint="eastAsia" w:ascii="宋体" w:hAnsi="宋体"/>
          <w:szCs w:val="21"/>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14:paraId="35781191">
      <w:pPr>
        <w:snapToGrid w:val="0"/>
        <w:spacing w:line="360" w:lineRule="auto"/>
        <w:ind w:firstLine="539"/>
        <w:rPr>
          <w:rFonts w:hint="eastAsia" w:ascii="宋体" w:hAnsi="宋体"/>
          <w:szCs w:val="21"/>
          <w:highlight w:val="none"/>
        </w:rPr>
      </w:pPr>
      <w:r>
        <w:rPr>
          <w:rFonts w:hint="eastAsia" w:ascii="宋体" w:hAnsi="宋体"/>
          <w:szCs w:val="21"/>
          <w:highlight w:val="none"/>
        </w:rPr>
        <w:t>1.本合同书</w:t>
      </w:r>
    </w:p>
    <w:p w14:paraId="5ADB9304">
      <w:pPr>
        <w:snapToGrid w:val="0"/>
        <w:spacing w:line="360" w:lineRule="auto"/>
        <w:ind w:firstLine="539"/>
        <w:rPr>
          <w:rFonts w:hint="eastAsia" w:ascii="宋体" w:hAnsi="宋体"/>
          <w:szCs w:val="21"/>
          <w:highlight w:val="none"/>
        </w:rPr>
      </w:pPr>
      <w:r>
        <w:rPr>
          <w:rFonts w:hint="eastAsia" w:ascii="宋体" w:hAnsi="宋体"/>
          <w:szCs w:val="21"/>
          <w:highlight w:val="none"/>
        </w:rPr>
        <w:t>2.成交通知书</w:t>
      </w:r>
      <w:r>
        <w:rPr>
          <w:rFonts w:hint="eastAsia" w:ascii="宋体" w:hAnsi="宋体"/>
          <w:szCs w:val="21"/>
          <w:highlight w:val="none"/>
        </w:rPr>
        <w:tab/>
      </w:r>
    </w:p>
    <w:p w14:paraId="36AC7552">
      <w:pPr>
        <w:snapToGrid w:val="0"/>
        <w:spacing w:line="360" w:lineRule="auto"/>
        <w:ind w:firstLine="539"/>
        <w:rPr>
          <w:rFonts w:hint="eastAsia" w:ascii="宋体" w:hAnsi="宋体"/>
          <w:szCs w:val="21"/>
          <w:highlight w:val="none"/>
        </w:rPr>
      </w:pPr>
      <w:r>
        <w:rPr>
          <w:rFonts w:hint="eastAsia" w:ascii="宋体" w:hAnsi="宋体"/>
          <w:szCs w:val="21"/>
          <w:highlight w:val="none"/>
        </w:rPr>
        <w:t>3.协议</w:t>
      </w:r>
    </w:p>
    <w:p w14:paraId="70334FF5">
      <w:pPr>
        <w:snapToGrid w:val="0"/>
        <w:spacing w:line="360" w:lineRule="auto"/>
        <w:ind w:firstLine="539"/>
        <w:rPr>
          <w:rFonts w:hint="eastAsia" w:ascii="宋体" w:hAnsi="宋体"/>
          <w:szCs w:val="21"/>
          <w:highlight w:val="none"/>
        </w:rPr>
      </w:pPr>
      <w:r>
        <w:rPr>
          <w:rFonts w:hint="eastAsia" w:ascii="宋体" w:hAnsi="宋体"/>
          <w:szCs w:val="21"/>
          <w:highlight w:val="none"/>
        </w:rPr>
        <w:t>4.</w:t>
      </w:r>
      <w:r>
        <w:rPr>
          <w:rFonts w:hint="eastAsia" w:ascii="宋体" w:hAnsi="宋体"/>
          <w:szCs w:val="21"/>
          <w:highlight w:val="none"/>
          <w:lang w:val="en-US" w:eastAsia="zh-CN"/>
        </w:rPr>
        <w:t>招标</w:t>
      </w:r>
      <w:r>
        <w:rPr>
          <w:rFonts w:hint="eastAsia" w:ascii="宋体" w:hAnsi="宋体"/>
          <w:szCs w:val="21"/>
          <w:highlight w:val="none"/>
        </w:rPr>
        <w:t>文件(含澄清或者修改文件)</w:t>
      </w:r>
    </w:p>
    <w:p w14:paraId="48F46E5C">
      <w:pPr>
        <w:snapToGrid w:val="0"/>
        <w:spacing w:line="360" w:lineRule="auto"/>
        <w:ind w:firstLine="539"/>
        <w:rPr>
          <w:rFonts w:hint="eastAsia" w:ascii="宋体" w:hAnsi="宋体"/>
          <w:szCs w:val="21"/>
          <w:highlight w:val="none"/>
        </w:rPr>
      </w:pPr>
      <w:r>
        <w:rPr>
          <w:rFonts w:hint="eastAsia" w:ascii="宋体" w:hAnsi="宋体"/>
          <w:szCs w:val="21"/>
          <w:highlight w:val="none"/>
        </w:rPr>
        <w:t>5.响应文件</w:t>
      </w:r>
    </w:p>
    <w:p w14:paraId="658D8B3A">
      <w:pPr>
        <w:snapToGrid w:val="0"/>
        <w:spacing w:before="120" w:beforeLines="50" w:after="120" w:afterLines="50" w:line="360" w:lineRule="auto"/>
        <w:ind w:firstLine="452" w:firstLineChars="150"/>
        <w:outlineLvl w:val="1"/>
        <w:rPr>
          <w:rFonts w:hint="eastAsia"/>
          <w:b/>
          <w:kern w:val="0"/>
          <w:sz w:val="30"/>
          <w:szCs w:val="30"/>
          <w:highlight w:val="none"/>
        </w:rPr>
      </w:pPr>
      <w:bookmarkStart w:id="25" w:name="_Toc18656"/>
      <w:r>
        <w:rPr>
          <w:rFonts w:hint="eastAsia"/>
          <w:b/>
          <w:sz w:val="30"/>
          <w:szCs w:val="30"/>
          <w:highlight w:val="none"/>
        </w:rPr>
        <w:t xml:space="preserve">第十五条 </w:t>
      </w:r>
      <w:r>
        <w:rPr>
          <w:rFonts w:hint="eastAsia"/>
          <w:b/>
          <w:kern w:val="0"/>
          <w:sz w:val="30"/>
          <w:szCs w:val="30"/>
          <w:highlight w:val="none"/>
        </w:rPr>
        <w:t>合同生效及其他</w:t>
      </w:r>
      <w:bookmarkEnd w:id="25"/>
    </w:p>
    <w:p w14:paraId="6C7912EE">
      <w:pPr>
        <w:snapToGrid w:val="0"/>
        <w:spacing w:line="360" w:lineRule="auto"/>
        <w:ind w:firstLine="539"/>
        <w:rPr>
          <w:rFonts w:hint="eastAsia" w:ascii="宋体" w:hAnsi="宋体"/>
          <w:szCs w:val="21"/>
          <w:highlight w:val="none"/>
        </w:rPr>
      </w:pPr>
      <w:r>
        <w:rPr>
          <w:rFonts w:hint="eastAsia" w:ascii="宋体" w:hAnsi="宋体" w:cs="宋体"/>
          <w:color w:val="000000"/>
          <w:kern w:val="0"/>
          <w:szCs w:val="21"/>
          <w:highlight w:val="none"/>
        </w:rPr>
        <w:t>1.</w:t>
      </w:r>
      <w:r>
        <w:rPr>
          <w:rFonts w:hint="eastAsia" w:ascii="宋体" w:hAnsi="宋体"/>
          <w:szCs w:val="21"/>
          <w:highlight w:val="none"/>
        </w:rPr>
        <w:t>如有未尽事宜，由双方依法订立补充合同。</w:t>
      </w:r>
    </w:p>
    <w:p w14:paraId="1A9838AD">
      <w:pPr>
        <w:snapToGrid w:val="0"/>
        <w:spacing w:line="360" w:lineRule="auto"/>
        <w:ind w:firstLine="539"/>
        <w:rPr>
          <w:rFonts w:hint="eastAsia" w:ascii="宋体" w:hAnsi="宋体"/>
          <w:kern w:val="0"/>
          <w:szCs w:val="21"/>
          <w:highlight w:val="none"/>
        </w:rPr>
      </w:pPr>
      <w:r>
        <w:rPr>
          <w:rFonts w:hint="eastAsia" w:ascii="宋体" w:hAnsi="宋体"/>
          <w:kern w:val="0"/>
          <w:szCs w:val="21"/>
          <w:highlight w:val="none"/>
        </w:rPr>
        <w:t>2.本合同自签订之日起生效。</w:t>
      </w:r>
    </w:p>
    <w:p w14:paraId="65A554A7">
      <w:pPr>
        <w:snapToGrid w:val="0"/>
        <w:spacing w:line="360" w:lineRule="auto"/>
        <w:ind w:firstLine="539"/>
        <w:rPr>
          <w:rFonts w:hint="eastAsia" w:ascii="宋体" w:hAnsi="宋体"/>
          <w:szCs w:val="21"/>
          <w:highlight w:val="none"/>
        </w:rPr>
      </w:pPr>
      <w:r>
        <w:rPr>
          <w:rFonts w:hint="eastAsia" w:ascii="宋体" w:hAnsi="宋体"/>
          <w:kern w:val="0"/>
          <w:szCs w:val="21"/>
          <w:highlight w:val="none"/>
        </w:rPr>
        <w:t>3.本合同一式___份，具有同等法律效力，甲乙双方各执____份，___份报送政府采购监督管理部门备案，一份采购代理机构存档。</w:t>
      </w:r>
    </w:p>
    <w:p w14:paraId="29893B26">
      <w:pPr>
        <w:spacing w:line="360" w:lineRule="auto"/>
        <w:ind w:firstLine="420" w:firstLineChars="200"/>
        <w:rPr>
          <w:rFonts w:hint="eastAsia" w:ascii="宋体" w:hAnsi="宋体"/>
          <w:szCs w:val="21"/>
          <w:highlight w:val="none"/>
        </w:rPr>
      </w:pPr>
    </w:p>
    <w:p w14:paraId="65852E66">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 xml:space="preserve">甲方：   （盖章）   </w:t>
      </w:r>
      <w:r>
        <w:rPr>
          <w:rFonts w:hint="eastAsia" w:ascii="宋体" w:hAnsi="宋体"/>
          <w:szCs w:val="21"/>
          <w:highlight w:val="none"/>
        </w:rPr>
        <w:tab/>
      </w:r>
      <w:r>
        <w:rPr>
          <w:rFonts w:hint="eastAsia" w:ascii="宋体" w:hAnsi="宋体"/>
          <w:szCs w:val="21"/>
          <w:highlight w:val="none"/>
        </w:rPr>
        <w:tab/>
      </w:r>
      <w:r>
        <w:rPr>
          <w:rFonts w:hint="eastAsia" w:ascii="宋体" w:hAnsi="宋体"/>
          <w:szCs w:val="21"/>
          <w:highlight w:val="none"/>
        </w:rPr>
        <w:tab/>
      </w:r>
      <w:r>
        <w:rPr>
          <w:rFonts w:hint="eastAsia" w:ascii="宋体" w:hAnsi="宋体"/>
          <w:szCs w:val="21"/>
          <w:highlight w:val="none"/>
        </w:rPr>
        <w:t xml:space="preserve">   乙方：   （盖章）</w:t>
      </w:r>
    </w:p>
    <w:p w14:paraId="00D82A62">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法定代表人/委托代理人：            法定代表人/委托代理人：</w:t>
      </w:r>
    </w:p>
    <w:p w14:paraId="472F04B0">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地    址：                         地    址：</w:t>
      </w:r>
    </w:p>
    <w:p w14:paraId="672B8891">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开户银行：                         开户银行：</w:t>
      </w:r>
    </w:p>
    <w:p w14:paraId="4B0144DB">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账    号：                         账    号：</w:t>
      </w:r>
    </w:p>
    <w:p w14:paraId="208A8C16">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电    话：                         电    话：</w:t>
      </w:r>
    </w:p>
    <w:p w14:paraId="0D4ECBBB">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传    真：                         传    真：</w:t>
      </w:r>
    </w:p>
    <w:p w14:paraId="2C79506A">
      <w:pPr>
        <w:spacing w:line="240" w:lineRule="auto"/>
        <w:ind w:firstLine="420" w:firstLineChars="200"/>
        <w:rPr>
          <w:rFonts w:hint="eastAsia"/>
          <w:sz w:val="24"/>
          <w:highlight w:val="none"/>
        </w:rPr>
      </w:pPr>
      <w:r>
        <w:rPr>
          <w:rFonts w:hint="eastAsia" w:ascii="宋体" w:hAnsi="宋体"/>
          <w:szCs w:val="21"/>
          <w:highlight w:val="none"/>
        </w:rPr>
        <w:t>签约日期：    年  月  日           签约日期：</w:t>
      </w:r>
      <w:r>
        <w:rPr>
          <w:rFonts w:hint="eastAsia" w:ascii="宋体" w:hAnsi="宋体"/>
          <w:color w:val="000000"/>
          <w:szCs w:val="21"/>
          <w:highlight w:val="none"/>
        </w:rPr>
        <w:t xml:space="preserve">    </w:t>
      </w:r>
      <w:r>
        <w:rPr>
          <w:rFonts w:hint="eastAsia" w:ascii="宋体" w:hAnsi="宋体"/>
          <w:szCs w:val="21"/>
          <w:highlight w:val="none"/>
        </w:rPr>
        <w:t xml:space="preserve">年  月  </w:t>
      </w:r>
      <w:r>
        <w:rPr>
          <w:rFonts w:hint="eastAsia" w:ascii="宋体" w:hAnsi="宋体"/>
          <w:color w:val="000000"/>
          <w:szCs w:val="21"/>
          <w:highlight w:val="none"/>
        </w:rPr>
        <w:t>日</w:t>
      </w:r>
    </w:p>
    <w:p w14:paraId="389A9EE3">
      <w:pPr>
        <w:spacing w:line="240" w:lineRule="auto"/>
        <w:ind w:firstLine="480" w:firstLineChars="200"/>
        <w:rPr>
          <w:rFonts w:hint="eastAsia"/>
          <w:sz w:val="24"/>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101357"/>
    <w:multiLevelType w:val="singleLevel"/>
    <w:tmpl w:val="09101357"/>
    <w:lvl w:ilvl="0" w:tentative="0">
      <w:start w:val="1"/>
      <w:numFmt w:val="decimal"/>
      <w:suff w:val="nothing"/>
      <w:lvlText w:val="（%1）"/>
      <w:lvlJc w:val="left"/>
      <w:pPr>
        <w:ind w:left="105" w:leftChars="0" w:firstLine="0" w:firstLineChars="0"/>
      </w:pPr>
    </w:lvl>
  </w:abstractNum>
  <w:abstractNum w:abstractNumId="1">
    <w:nsid w:val="11A8890C"/>
    <w:multiLevelType w:val="singleLevel"/>
    <w:tmpl w:val="11A8890C"/>
    <w:lvl w:ilvl="0" w:tentative="0">
      <w:start w:val="1"/>
      <w:numFmt w:val="decimal"/>
      <w:lvlText w:val="%1."/>
      <w:lvlJc w:val="left"/>
      <w:pPr>
        <w:tabs>
          <w:tab w:val="left" w:pos="312"/>
        </w:tabs>
      </w:pPr>
    </w:lvl>
  </w:abstractNum>
  <w:abstractNum w:abstractNumId="2">
    <w:nsid w:val="7344BA57"/>
    <w:multiLevelType w:val="singleLevel"/>
    <w:tmpl w:val="7344BA57"/>
    <w:lvl w:ilvl="0" w:tentative="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DI2OWE4ZjBhZTdkNWY5MTg4N2YzYmRhZmY3YTAifQ=="/>
  </w:docVars>
  <w:rsids>
    <w:rsidRoot w:val="00000000"/>
    <w:rsid w:val="08FB6084"/>
    <w:rsid w:val="09B55C05"/>
    <w:rsid w:val="105B7C2F"/>
    <w:rsid w:val="1B300795"/>
    <w:rsid w:val="296F294F"/>
    <w:rsid w:val="37602C6E"/>
    <w:rsid w:val="417B255F"/>
    <w:rsid w:val="429E7062"/>
    <w:rsid w:val="490C343D"/>
    <w:rsid w:val="499A70A7"/>
    <w:rsid w:val="530B5EA3"/>
    <w:rsid w:val="6932430A"/>
    <w:rsid w:val="73FC43C1"/>
    <w:rsid w:val="7629646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rPr>
      <w:b/>
      <w:sz w:val="28"/>
    </w:rPr>
  </w:style>
  <w:style w:type="paragraph" w:styleId="4">
    <w:name w:val="Normal Indent"/>
    <w:basedOn w:val="1"/>
    <w:qFormat/>
    <w:uiPriority w:val="0"/>
    <w:pPr>
      <w:ind w:firstLine="420"/>
    </w:pPr>
    <w:rPr>
      <w:szCs w:val="20"/>
    </w:rPr>
  </w:style>
  <w:style w:type="paragraph" w:customStyle="1" w:styleId="7">
    <w:name w:val="样式 首行缩进:  2 字符"/>
    <w:basedOn w:val="1"/>
    <w:qFormat/>
    <w:uiPriority w:val="0"/>
    <w:pPr>
      <w:spacing w:line="400" w:lineRule="exact"/>
      <w:ind w:firstLine="200" w:firstLineChars="200"/>
    </w:pPr>
    <w:rPr>
      <w:rFonts w:cs="宋体"/>
      <w:sz w:val="24"/>
    </w:rPr>
  </w:style>
  <w:style w:type="paragraph" w:customStyle="1" w:styleId="8">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2980</Words>
  <Characters>3042</Characters>
  <Lines>0</Lines>
  <Paragraphs>0</Paragraphs>
  <TotalTime>17</TotalTime>
  <ScaleCrop>false</ScaleCrop>
  <LinksUpToDate>false</LinksUpToDate>
  <CharactersWithSpaces>3379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2023-10-30T06:16:00Z</dcterms:created>
  <dc:creator>Administrator</dc:creator>
  <cp:lastModifiedBy>o麦o麦蹦擦擦，朵朵奇葩跳恰恰i</cp:lastModifiedBy>
  <dcterms:modified xsi:type="dcterms:W3CDTF">2025-08-27T10:44:13Z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B1125048C5A14115A62BBCCF903D1EF8_13</vt:lpwstr>
  </property>
  <property fmtid="{D5CDD505-2E9C-101B-9397-08002B2CF9AE}" pid="4" name="KSOTemplateDocerSaveRecord">
    <vt:lpwstr>eyJoZGlkIjoiZmY3YTIxZGEwOTM3MDgxYzkwNzEzMTgyNGZlNzVlNzMiLCJ1c2VySWQiOiIyMDA4NzM4MDkifQ==</vt:lpwstr>
  </property>
</Properties>
</file>