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版本号：JYH202501120250825001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铜川市产业园区用地调查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JYH2025011</w:t>
      </w:r>
      <w:r>
        <w:br/>
      </w:r>
      <w:r>
        <w:br/>
      </w:r>
      <w:r>
        <w:br/>
      </w:r>
    </w:p>
    <w:p>
      <w:pPr>
        <w:pStyle w:val="null3"/>
        <w:jc w:val="center"/>
        <w:outlineLvl w:val="2"/>
      </w:pPr>
      <w:r>
        <w:rPr>
          <w:rFonts w:ascii="仿宋_GB2312" w:hAnsi="仿宋_GB2312" w:cs="仿宋_GB2312" w:eastAsia="仿宋_GB2312"/>
          <w:sz w:val="28"/>
          <w:b/>
        </w:rPr>
        <w:t>铜川市自然资源局</w:t>
      </w:r>
    </w:p>
    <w:p>
      <w:pPr>
        <w:pStyle w:val="null3"/>
        <w:jc w:val="center"/>
        <w:outlineLvl w:val="2"/>
      </w:pPr>
      <w:r>
        <w:rPr>
          <w:rFonts w:ascii="仿宋_GB2312" w:hAnsi="仿宋_GB2312" w:cs="仿宋_GB2312" w:eastAsia="仿宋_GB2312"/>
          <w:sz w:val="28"/>
          <w:b/>
        </w:rPr>
        <w:t>陕西嘉永河招标代理有限公司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陕西嘉永河招标代理有限公司</w:t>
      </w:r>
      <w:r>
        <w:rPr>
          <w:rFonts w:ascii="仿宋_GB2312" w:hAnsi="仿宋_GB2312" w:cs="仿宋_GB2312" w:eastAsia="仿宋_GB2312"/>
        </w:rPr>
        <w:t>（以下简称“代理机构”）受</w:t>
      </w:r>
      <w:r>
        <w:rPr>
          <w:rFonts w:ascii="仿宋_GB2312" w:hAnsi="仿宋_GB2312" w:cs="仿宋_GB2312" w:eastAsia="仿宋_GB2312"/>
        </w:rPr>
        <w:t>铜川市自然资源局</w:t>
      </w:r>
      <w:r>
        <w:rPr>
          <w:rFonts w:ascii="仿宋_GB2312" w:hAnsi="仿宋_GB2312" w:cs="仿宋_GB2312" w:eastAsia="仿宋_GB2312"/>
        </w:rPr>
        <w:t>委托，拟对</w:t>
      </w:r>
      <w:r>
        <w:rPr>
          <w:rFonts w:ascii="仿宋_GB2312" w:hAnsi="仿宋_GB2312" w:cs="仿宋_GB2312" w:eastAsia="仿宋_GB2312"/>
        </w:rPr>
        <w:t>铜川市产业园区用地调查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JYH2025011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铜川市产业园区用地调查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开展产业园区用地调查，全面摸清铜川市产业园区用地状况，切实提高产业园区土地管理水平，规范产业园区用地管理，更好发挥产业园区在节约集约用地方面的示范引领作用，以更优质的空间资源、更精准的配置方式、更高效的利用效率，进一步增强产业用地要素保障能力，为铜川市经济提供服务保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采购包1（铜川市产业园区用地调查）：属于专门面向中小企业采购。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1、身份证明：供应商应授权合法的人员参加磋商全过程，法定代表人直接参加磋商的，须提供法定代表人身份证明；法定代表人授权他人参加磋商的， 须提供法定代表人授权委托书。</w:t>
      </w:r>
    </w:p>
    <w:p>
      <w:pPr>
        <w:pStyle w:val="null3"/>
      </w:pPr>
      <w:r>
        <w:rPr>
          <w:rFonts w:ascii="仿宋_GB2312" w:hAnsi="仿宋_GB2312" w:cs="仿宋_GB2312" w:eastAsia="仿宋_GB2312"/>
        </w:rPr>
        <w:t>2、非联合体声明：本项目不接受联合体磋商，并提供非联合体声明。</w:t>
      </w:r>
    </w:p>
    <w:p>
      <w:pPr>
        <w:pStyle w:val="null3"/>
      </w:pPr>
      <w:r>
        <w:rPr>
          <w:rFonts w:ascii="仿宋_GB2312" w:hAnsi="仿宋_GB2312" w:cs="仿宋_GB2312" w:eastAsia="仿宋_GB2312"/>
        </w:rPr>
        <w:t>3、信用查询：供应商不得为“信用中国”网站（www.creditchina.gov.cn ）中列入失信被执行人和重大税收违法案件当事人名单的供应商,不得为“中国政府采购网”（www.ccgp.gov.cn ）政府采购严重违法失信行为记录名单中被财政部门禁止参加政府采购活动的供应商；将网页截图附在响应文件中。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新区正阳路9号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铜川市自然资源局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0919-3183300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陕西嘉永河招标代理有限公司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陕西省西安市雁塔区南三环世界城寓（J1期）C2栋627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17791924712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采购包1：943,900.00元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发改办价格〔2003〕857号、发改价格〔2011〕534号文件规定的计费标准收取代理服务费用。中标单位在领取中标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铜川市自然资源局</w:t>
      </w:r>
      <w:r>
        <w:rPr>
          <w:rFonts w:ascii="仿宋_GB2312" w:hAnsi="仿宋_GB2312" w:cs="仿宋_GB2312" w:eastAsia="仿宋_GB2312"/>
        </w:rPr>
        <w:t>和</w:t>
      </w:r>
      <w:r>
        <w:rPr>
          <w:rFonts w:ascii="仿宋_GB2312" w:hAnsi="仿宋_GB2312" w:cs="仿宋_GB2312" w:eastAsia="仿宋_GB2312"/>
        </w:rPr>
        <w:t>陕西嘉永河招标代理有限公司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陕西嘉永河招标代理有限公司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陕西嘉永河招标代理有限公司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根据磋商文件要求、磋商响应文件及合同约定执行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陕西嘉永河招标代理有限公司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陕西嘉永河招标代理有限公司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陕西嘉永河招标代理有限公司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联系人：庞娜</w:t>
      </w:r>
    </w:p>
    <w:p>
      <w:pPr>
        <w:pStyle w:val="null3"/>
      </w:pPr>
      <w:r>
        <w:rPr>
          <w:rFonts w:ascii="仿宋_GB2312" w:hAnsi="仿宋_GB2312" w:cs="仿宋_GB2312" w:eastAsia="仿宋_GB2312"/>
        </w:rPr>
        <w:t>联系电话：17791924712</w:t>
      </w:r>
    </w:p>
    <w:p>
      <w:pPr>
        <w:pStyle w:val="null3"/>
      </w:pPr>
      <w:r>
        <w:rPr>
          <w:rFonts w:ascii="仿宋_GB2312" w:hAnsi="仿宋_GB2312" w:cs="仿宋_GB2312" w:eastAsia="仿宋_GB2312"/>
        </w:rPr>
        <w:t>地址：陕西省西安市雁塔区南三环世界城寓（J1期）C2栋627</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开展产业园区用地调查，全面摸清铜川市产业园区用地状况，切实提高产业园区土地管理水平，规范产业园区用地管理，更好发挥产业园区在节约集约用地方面的示范引领作用，以更优质的空间资源、更精准的配置方式、更高效的利用效率，进一步增强产业用地要素保障能力，为铜川市经济提供服务保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943,900.00</w:t>
      </w:r>
    </w:p>
    <w:p>
      <w:pPr>
        <w:pStyle w:val="null3"/>
      </w:pPr>
      <w:r>
        <w:rPr>
          <w:rFonts w:ascii="仿宋_GB2312" w:hAnsi="仿宋_GB2312" w:cs="仿宋_GB2312" w:eastAsia="仿宋_GB2312"/>
        </w:rPr>
        <w:t>采购包最高限价（元）: 943,900.00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铜川市产业园区用地调查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943,900.00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标的名称：铜川市产业园区用地调查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w:t>
            </w:r>
            <w:r>
              <w:rPr>
                <w:rFonts w:ascii="仿宋_GB2312" w:hAnsi="仿宋_GB2312" w:cs="仿宋_GB2312" w:eastAsia="仿宋_GB2312"/>
              </w:rPr>
              <w:t>调查对象</w:t>
            </w:r>
          </w:p>
          <w:p>
            <w:pPr>
              <w:pStyle w:val="null3"/>
              <w:jc w:val="both"/>
            </w:pPr>
            <w:r>
              <w:rPr>
                <w:rFonts w:ascii="仿宋_GB2312" w:hAnsi="仿宋_GB2312" w:cs="仿宋_GB2312" w:eastAsia="仿宋_GB2312"/>
              </w:rPr>
              <w:t>铜川市2024年度开发区土地集约利用监测统计共涉及9个开发区，本次开展产业园区用地调查对象为对上述园区优化整合后的5个园区：铜川高新技术开发区、陕西王益经济技术开发区、铜川市董家河循环经济产业园（含印台部分）、铜川新材料产业园区（含宜君部分）、铜川市耀州区惠塬工业园区。</w:t>
            </w:r>
          </w:p>
          <w:p>
            <w:pPr>
              <w:pStyle w:val="null3"/>
              <w:jc w:val="both"/>
            </w:pPr>
            <w:r>
              <w:rPr>
                <w:rFonts w:ascii="仿宋_GB2312" w:hAnsi="仿宋_GB2312" w:cs="仿宋_GB2312" w:eastAsia="仿宋_GB2312"/>
              </w:rPr>
              <w:t>二、服务</w:t>
            </w:r>
            <w:r>
              <w:rPr>
                <w:rFonts w:ascii="仿宋_GB2312" w:hAnsi="仿宋_GB2312" w:cs="仿宋_GB2312" w:eastAsia="仿宋_GB2312"/>
              </w:rPr>
              <w:t>内容</w:t>
            </w:r>
          </w:p>
          <w:p>
            <w:pPr>
              <w:pStyle w:val="null3"/>
              <w:jc w:val="both"/>
            </w:pPr>
            <w:r>
              <w:rPr>
                <w:rFonts w:ascii="仿宋_GB2312" w:hAnsi="仿宋_GB2312" w:cs="仿宋_GB2312" w:eastAsia="仿宋_GB2312"/>
              </w:rPr>
              <w:t>（一）调查产业园区基本情况。</w:t>
            </w:r>
          </w:p>
          <w:p>
            <w:pPr>
              <w:pStyle w:val="null3"/>
              <w:jc w:val="both"/>
            </w:pPr>
            <w:r>
              <w:rPr>
                <w:rFonts w:ascii="仿宋_GB2312" w:hAnsi="仿宋_GB2312" w:cs="仿宋_GB2312" w:eastAsia="仿宋_GB2312"/>
              </w:rPr>
              <w:t>1.</w:t>
            </w:r>
            <w:r>
              <w:rPr>
                <w:rFonts w:ascii="仿宋_GB2312" w:hAnsi="仿宋_GB2312" w:cs="仿宋_GB2312" w:eastAsia="仿宋_GB2312"/>
              </w:rPr>
              <w:t>调查产业园区基本情况。以产业园区用地总调查为基础，全面摸清现有一、二类产业园区名称、级别、类型、园区面积、区块数量及《中国开发区审核公告目录（</w:t>
            </w:r>
            <w:r>
              <w:rPr>
                <w:rFonts w:ascii="仿宋_GB2312" w:hAnsi="仿宋_GB2312" w:cs="仿宋_GB2312" w:eastAsia="仿宋_GB2312"/>
              </w:rPr>
              <w:t>2018</w:t>
            </w:r>
            <w:r>
              <w:rPr>
                <w:rFonts w:ascii="仿宋_GB2312" w:hAnsi="仿宋_GB2312" w:cs="仿宋_GB2312" w:eastAsia="仿宋_GB2312"/>
              </w:rPr>
              <w:t>年版）》（以下简称《目录》）公布以来年均供地面积等情况。筛选出开发区范围相互重叠的园区，填报相关表册。</w:t>
            </w:r>
          </w:p>
          <w:p>
            <w:pPr>
              <w:pStyle w:val="null3"/>
              <w:jc w:val="both"/>
            </w:pPr>
            <w:r>
              <w:rPr>
                <w:rFonts w:ascii="仿宋_GB2312" w:hAnsi="仿宋_GB2312" w:cs="仿宋_GB2312" w:eastAsia="仿宋_GB2312"/>
              </w:rPr>
              <w:t>2.</w:t>
            </w:r>
            <w:r>
              <w:rPr>
                <w:rFonts w:ascii="仿宋_GB2312" w:hAnsi="仿宋_GB2312" w:cs="仿宋_GB2312" w:eastAsia="仿宋_GB2312"/>
              </w:rPr>
              <w:t>查清拟纳入《目录》开发区基本情况。从发改等相关部门获取拟纳入《目录》开发区的名称、级别、类型等基本情况及整合优化范围等，填报相关表册。</w:t>
            </w:r>
          </w:p>
          <w:p>
            <w:pPr>
              <w:pStyle w:val="null3"/>
              <w:jc w:val="both"/>
            </w:pPr>
            <w:r>
              <w:rPr>
                <w:rFonts w:ascii="仿宋_GB2312" w:hAnsi="仿宋_GB2312" w:cs="仿宋_GB2312" w:eastAsia="仿宋_GB2312"/>
              </w:rPr>
              <w:t>（二）分析拟纳入《目录》开发区用地状况。</w:t>
            </w:r>
          </w:p>
          <w:p>
            <w:pPr>
              <w:pStyle w:val="null3"/>
              <w:jc w:val="both"/>
            </w:pPr>
            <w:r>
              <w:rPr>
                <w:rFonts w:ascii="仿宋_GB2312" w:hAnsi="仿宋_GB2312" w:cs="仿宋_GB2312" w:eastAsia="仿宋_GB2312"/>
              </w:rPr>
              <w:t>1.</w:t>
            </w:r>
            <w:r>
              <w:rPr>
                <w:rFonts w:ascii="仿宋_GB2312" w:hAnsi="仿宋_GB2312" w:cs="仿宋_GB2312" w:eastAsia="仿宋_GB2312"/>
              </w:rPr>
              <w:t>分析规划状况。结合“三区三线”划定矢量成果、测算开发区总面积，核实是否位于城镇开发边界内，是否涉及永久基本农田面积和生态保护红线面积。依据国土空间规划数据，获取开发区规划建设用地面积，规划工矿仓储用地面积，测算规划工业用地率。</w:t>
            </w:r>
          </w:p>
          <w:p>
            <w:pPr>
              <w:pStyle w:val="null3"/>
              <w:jc w:val="both"/>
            </w:pPr>
            <w:r>
              <w:rPr>
                <w:rFonts w:ascii="仿宋_GB2312" w:hAnsi="仿宋_GB2312" w:cs="仿宋_GB2312" w:eastAsia="仿宋_GB2312"/>
              </w:rPr>
              <w:t>2.</w:t>
            </w:r>
            <w:r>
              <w:rPr>
                <w:rFonts w:ascii="仿宋_GB2312" w:hAnsi="仿宋_GB2312" w:cs="仿宋_GB2312" w:eastAsia="仿宋_GB2312"/>
              </w:rPr>
              <w:t>分析土地批准、供应情况。结合国家相关监管系统，调查开发区拟整合优化范围内的已批准和已供应国有建设用地面积、批而未供土地和闲置土地面积，开展统计分析。</w:t>
            </w:r>
          </w:p>
          <w:p>
            <w:pPr>
              <w:pStyle w:val="null3"/>
              <w:jc w:val="both"/>
            </w:pPr>
            <w:r>
              <w:rPr>
                <w:rFonts w:ascii="仿宋_GB2312" w:hAnsi="仿宋_GB2312" w:cs="仿宋_GB2312" w:eastAsia="仿宋_GB2312"/>
              </w:rPr>
              <w:t>3.</w:t>
            </w:r>
            <w:r>
              <w:rPr>
                <w:rFonts w:ascii="仿宋_GB2312" w:hAnsi="仿宋_GB2312" w:cs="仿宋_GB2312" w:eastAsia="仿宋_GB2312"/>
              </w:rPr>
              <w:t>分析土地开发建设状况。利用开发区拟整合优化范围矢量成果套合国土变更调查矢量成果，获取开发区现状建设用地、工业用地、采矿用地、盐田及仓储用地面积，测算现状工业用地率。对比现状建设用地与规划建设用地，测算规划建设用地开发建设程度。</w:t>
            </w:r>
          </w:p>
          <w:p>
            <w:pPr>
              <w:pStyle w:val="null3"/>
              <w:jc w:val="both"/>
            </w:pPr>
            <w:r>
              <w:rPr>
                <w:rFonts w:ascii="仿宋_GB2312" w:hAnsi="仿宋_GB2312" w:cs="仿宋_GB2312" w:eastAsia="仿宋_GB2312"/>
              </w:rPr>
              <w:t>4.</w:t>
            </w:r>
            <w:r>
              <w:rPr>
                <w:rFonts w:ascii="仿宋_GB2312" w:hAnsi="仿宋_GB2312" w:cs="仿宋_GB2312" w:eastAsia="仿宋_GB2312"/>
              </w:rPr>
              <w:t>分析土地低效、荒废情况。结合低效用地认定成果与开发区土地集约利用监测统计成果，开展低效工矿仓储用地排查。依据国家相关监管系统数据、参考涵盖人口与用水用电量等在内的空间大数据和历年遥感影像等，排查开发区内在建停工、建成停产等荒废情况。</w:t>
            </w:r>
          </w:p>
          <w:p>
            <w:pPr>
              <w:pStyle w:val="null3"/>
              <w:jc w:val="both"/>
            </w:pPr>
            <w:r>
              <w:rPr>
                <w:rFonts w:ascii="仿宋_GB2312" w:hAnsi="仿宋_GB2312" w:cs="仿宋_GB2312" w:eastAsia="仿宋_GB2312"/>
              </w:rPr>
              <w:t>（三）测算拟纳入《目录》开发区发展空间。</w:t>
            </w:r>
          </w:p>
          <w:p>
            <w:pPr>
              <w:pStyle w:val="null3"/>
              <w:jc w:val="both"/>
            </w:pPr>
            <w:r>
              <w:rPr>
                <w:rFonts w:ascii="仿宋_GB2312" w:hAnsi="仿宋_GB2312" w:cs="仿宋_GB2312" w:eastAsia="仿宋_GB2312"/>
              </w:rPr>
              <w:t>1.</w:t>
            </w:r>
            <w:r>
              <w:rPr>
                <w:rFonts w:ascii="仿宋_GB2312" w:hAnsi="仿宋_GB2312" w:cs="仿宋_GB2312" w:eastAsia="仿宋_GB2312"/>
              </w:rPr>
              <w:t>测算未来新增发展空间。</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）用地需求测算。依据拟纳入《目录》开发区范围内《目录》公布以来的年均供地面积，测算开发区未来</w:t>
            </w:r>
            <w:r>
              <w:rPr>
                <w:rFonts w:ascii="仿宋_GB2312" w:hAnsi="仿宋_GB2312" w:cs="仿宋_GB2312" w:eastAsia="仿宋_GB2312"/>
              </w:rPr>
              <w:t>5</w:t>
            </w:r>
            <w:r>
              <w:rPr>
                <w:rFonts w:ascii="仿宋_GB2312" w:hAnsi="仿宋_GB2312" w:cs="仿宋_GB2312" w:eastAsia="仿宋_GB2312"/>
              </w:rPr>
              <w:t>年和</w:t>
            </w:r>
            <w:r>
              <w:rPr>
                <w:rFonts w:ascii="仿宋_GB2312" w:hAnsi="仿宋_GB2312" w:cs="仿宋_GB2312" w:eastAsia="仿宋_GB2312"/>
              </w:rPr>
              <w:t>10</w:t>
            </w:r>
            <w:r>
              <w:rPr>
                <w:rFonts w:ascii="仿宋_GB2312" w:hAnsi="仿宋_GB2312" w:cs="仿宋_GB2312" w:eastAsia="仿宋_GB2312"/>
              </w:rPr>
              <w:t>年发展需求的空间规模。</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）尚可供地年限测算。结合拟纳入《目录》开发区范围位于城镇开发边界内规划建设用地中尚可供应土地面积，测算开发区尚可供地年限。</w:t>
            </w:r>
          </w:p>
          <w:p>
            <w:pPr>
              <w:pStyle w:val="null3"/>
              <w:jc w:val="both"/>
            </w:pPr>
            <w:r>
              <w:rPr>
                <w:rFonts w:ascii="仿宋_GB2312" w:hAnsi="仿宋_GB2312" w:cs="仿宋_GB2312" w:eastAsia="仿宋_GB2312"/>
              </w:rPr>
              <w:t>2.</w:t>
            </w:r>
            <w:r>
              <w:rPr>
                <w:rFonts w:ascii="仿宋_GB2312" w:hAnsi="仿宋_GB2312" w:cs="仿宋_GB2312" w:eastAsia="仿宋_GB2312"/>
              </w:rPr>
              <w:t>探索测算存量用地潜力。</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）调查统计开发区内批而未供、闲置、有偿使用已到期但未处置土地等可挖潜利用的土地面积，形成开发区管理提升潜力。</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）调查统计开发区现状建设用地中容积率、地均税收未达到合同约定的土地面积，形成开发区低效盘活潜力。</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）统计开发区现状建设用地中实际工业用地率与规划工业用地率的差，计算现状建设用地中未来待实现的工业用地面积，形成开发区结构优化潜力。</w:t>
            </w:r>
          </w:p>
          <w:p>
            <w:pPr>
              <w:pStyle w:val="null3"/>
              <w:jc w:val="both"/>
            </w:pPr>
            <w:r>
              <w:rPr>
                <w:rFonts w:ascii="仿宋_GB2312" w:hAnsi="仿宋_GB2312" w:cs="仿宋_GB2312" w:eastAsia="仿宋_GB2312"/>
              </w:rPr>
              <w:t>（四）提出产业园区用地优化提升建议方案和相关专项研究报告。</w:t>
            </w:r>
          </w:p>
          <w:p>
            <w:pPr>
              <w:pStyle w:val="null3"/>
              <w:jc w:val="both"/>
            </w:pPr>
            <w:r>
              <w:rPr>
                <w:rFonts w:ascii="仿宋_GB2312" w:hAnsi="仿宋_GB2312" w:cs="仿宋_GB2312" w:eastAsia="仿宋_GB2312"/>
              </w:rPr>
              <w:t>通过对各园区企业用地情况调研分析，对园区内低效用地、闲置用地、低产能企业用地进行深入研判分析，提出整合措施和优化方案，形成专项报告。</w:t>
            </w:r>
          </w:p>
          <w:p>
            <w:pPr>
              <w:pStyle w:val="null3"/>
              <w:jc w:val="both"/>
            </w:pPr>
            <w:r>
              <w:rPr>
                <w:rFonts w:ascii="仿宋_GB2312" w:hAnsi="仿宋_GB2312" w:cs="仿宋_GB2312" w:eastAsia="仿宋_GB2312"/>
              </w:rPr>
              <w:t>三、成果要求</w:t>
            </w:r>
          </w:p>
          <w:p>
            <w:pPr>
              <w:pStyle w:val="null3"/>
              <w:jc w:val="both"/>
            </w:pPr>
            <w:r>
              <w:rPr>
                <w:rFonts w:ascii="仿宋_GB2312" w:hAnsi="仿宋_GB2312" w:cs="仿宋_GB2312" w:eastAsia="仿宋_GB2312"/>
              </w:rPr>
              <w:t>（一）表格数据成果。包括开发区整合范围调查结果表和开发区整合范围审核表。</w:t>
            </w:r>
          </w:p>
          <w:p>
            <w:pPr>
              <w:pStyle w:val="null3"/>
              <w:jc w:val="both"/>
            </w:pPr>
            <w:r>
              <w:rPr>
                <w:rFonts w:ascii="仿宋_GB2312" w:hAnsi="仿宋_GB2312" w:cs="仿宋_GB2312" w:eastAsia="仿宋_GB2312"/>
              </w:rPr>
              <w:t>（二）图件成果。依据审核通过的开发区整合优化范围制图，以</w:t>
            </w:r>
            <w:r>
              <w:rPr>
                <w:rFonts w:ascii="仿宋_GB2312" w:hAnsi="仿宋_GB2312" w:cs="仿宋_GB2312" w:eastAsia="仿宋_GB2312"/>
              </w:rPr>
              <w:t>2023</w:t>
            </w:r>
            <w:r>
              <w:rPr>
                <w:rFonts w:ascii="仿宋_GB2312" w:hAnsi="仿宋_GB2312" w:cs="仿宋_GB2312" w:eastAsia="仿宋_GB2312"/>
              </w:rPr>
              <w:t>年变更调查影像为底图，红线标注开发区范围。</w:t>
            </w:r>
          </w:p>
          <w:p>
            <w:pPr>
              <w:pStyle w:val="null3"/>
              <w:jc w:val="both"/>
            </w:pPr>
            <w:r>
              <w:rPr>
                <w:rFonts w:ascii="仿宋_GB2312" w:hAnsi="仿宋_GB2312" w:cs="仿宋_GB2312" w:eastAsia="仿宋_GB2312"/>
              </w:rPr>
              <w:t>（三）矢量成果。依据审核通过的开发区整合优化范围形成矢量数据，包括开发区边界矢量、开发区内</w:t>
            </w:r>
            <w:r>
              <w:rPr>
                <w:rFonts w:ascii="仿宋_GB2312" w:hAnsi="仿宋_GB2312" w:cs="仿宋_GB2312" w:eastAsia="仿宋_GB2312"/>
              </w:rPr>
              <w:t>“</w:t>
            </w:r>
            <w:r>
              <w:rPr>
                <w:rFonts w:ascii="仿宋_GB2312" w:hAnsi="仿宋_GB2312" w:cs="仿宋_GB2312" w:eastAsia="仿宋_GB2312"/>
              </w:rPr>
              <w:t>三区三线</w:t>
            </w:r>
            <w:r>
              <w:rPr>
                <w:rFonts w:ascii="仿宋_GB2312" w:hAnsi="仿宋_GB2312" w:cs="仿宋_GB2312" w:eastAsia="仿宋_GB2312"/>
              </w:rPr>
              <w:t>”</w:t>
            </w:r>
            <w:r>
              <w:rPr>
                <w:rFonts w:ascii="仿宋_GB2312" w:hAnsi="仿宋_GB2312" w:cs="仿宋_GB2312" w:eastAsia="仿宋_GB2312"/>
              </w:rPr>
              <w:t>矢量、开发区内批而未供土地矢量、开发区内闲置土地矢量和开发区内现状建设用地矢量。</w:t>
            </w:r>
          </w:p>
          <w:p>
            <w:pPr>
              <w:pStyle w:val="null3"/>
              <w:jc w:val="both"/>
            </w:pPr>
            <w:r>
              <w:rPr>
                <w:rFonts w:ascii="仿宋_GB2312" w:hAnsi="仿宋_GB2312" w:cs="仿宋_GB2312" w:eastAsia="仿宋_GB2312"/>
              </w:rPr>
              <w:t>（四）证明材料。各类开发区设立、扩区、调区等优化整合证明文件扫描件。开发区规划工业用地率证明材料，尚无规划的提供开发区规划工业用地率大于30%的承诺书。</w:t>
            </w:r>
          </w:p>
          <w:p>
            <w:pPr>
              <w:pStyle w:val="null3"/>
            </w:pPr>
            <w:r>
              <w:rPr>
                <w:rFonts w:ascii="仿宋_GB2312" w:hAnsi="仿宋_GB2312" w:cs="仿宋_GB2312" w:eastAsia="仿宋_GB2312"/>
              </w:rPr>
              <w:t>（五）报告成果。包括开发区基本情况、土地规划情况、开发建设情况、土地利用情况等，以及各市（区）自然资源主管部门初步审核意见、对开发区范围调整建议等。形成产业园区用地优化提升建议方案报告。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根据本项目具体情况有针对性的成立项目组，详细列明人员分工、人员名单（提供项目组织人员姓名、职务、 联系电话、本项目中担任角色）</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根据磋商文件要求、磋商响应文件及合同约定执行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初步成果完成上报省厅审核</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修改完善形成最终成果</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因履行本协议双方发生争议的，应友好协商解决。解決不了的，向采购人当地仲裁委员会申请仲裁。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满足但不限于服务要求的所有内容。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1、供应商须为合法注册的法人、其他组织或者自然人，并具有独立承担民事责任的能力，提供统一社会信用代码的营业执照（或事业法人证、自然人身份证）等合法证明文件； 2、财务状况报告：提供 2024 年度经审计的财务会计报告（至少包括审计报告、资产负债表和利润表，成立时间至提交投标文件截止时间不足一年的可提供成立后任意时段的资产负债表）；或提供供应商基本存款账户信息及开标日期前三个月内其基本存款账户开户银行出具的资信证明；（二选一）； 3、社会保障资金缴纳证明：提供开标日期前一年已缴存的任意三个月的社会保障资金缴存单据或社保机构开具的社会保险参保缴费情况证明，依法不需要缴纳社会保障资金的单位应提供相关证明材料（加盖供应商公章）； 4、税收缴纳证明：提供开标日期前一年已缴纳的任意三个月的纳税证明或完税证明，依法免税的单位应提供相关证明材料（加盖供应商公章）； 5、供应商应出具参加政府采购活动前3年内在经营活动中没有重大违法记录的书面声明； 6、提供具有履行本项目合同所必需的设备和专业能力的承诺书。</w:t>
            </w:r>
          </w:p>
        </w:tc>
        <w:tc>
          <w:tcPr>
            <w:tcW w:type="dxa" w:w="1661"/>
          </w:tcPr>
          <w:p>
            <w:pPr>
              <w:pStyle w:val="null3"/>
            </w:pPr>
            <w:r>
              <w:rPr>
                <w:rFonts w:ascii="仿宋_GB2312" w:hAnsi="仿宋_GB2312" w:cs="仿宋_GB2312" w:eastAsia="仿宋_GB2312"/>
              </w:rPr>
              <w:t>供应商应提交的相关资格证明材料 响应函 参加政府采购活动前3年内，在经营活动中没有重大违法记录的书面声明.docx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 2024 年度经审计的财务会计报告（至少包括审计报告、资产负债表和利润表，成立时间至提交投标文件截止时间不足一年的可提供成立后任意时段的资产负债表）；或提供供应商基本存款账户信息及开标日期前三个月内其基本存款账户开户银行出具的资信证明；（二选一）</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供应商应授权合法的人员参加磋商全过程，法定代表人直接参加磋商的，须提供法定代表人身份证明；法定代表人授权他人参加磋商的， 须提供法定代表人授权委托书。</w:t>
            </w:r>
          </w:p>
        </w:tc>
        <w:tc>
          <w:tcPr>
            <w:tcW w:type="dxa" w:w="1661"/>
          </w:tcPr>
          <w:p>
            <w:pPr>
              <w:pStyle w:val="null3"/>
            </w:pPr>
            <w:r>
              <w:rPr>
                <w:rFonts w:ascii="仿宋_GB2312" w:hAnsi="仿宋_GB2312" w:cs="仿宋_GB2312" w:eastAsia="仿宋_GB2312"/>
              </w:rPr>
              <w:t>法定代表人证明书和法定代表人授权书.docx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本项目不接受联合体磋商，并提供非联合体声明。</w:t>
            </w:r>
          </w:p>
        </w:tc>
        <w:tc>
          <w:tcPr>
            <w:tcW w:type="dxa" w:w="1661"/>
          </w:tcPr>
          <w:p>
            <w:pPr>
              <w:pStyle w:val="null3"/>
            </w:pPr>
            <w:r>
              <w:rPr>
                <w:rFonts w:ascii="仿宋_GB2312" w:hAnsi="仿宋_GB2312" w:cs="仿宋_GB2312" w:eastAsia="仿宋_GB2312"/>
              </w:rPr>
              <w:t>非联合体不分包投标声明.docx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 ）中列入失信被执行人和重大税收违法案件当事人名单的供应商,不得为“中国政府采购网”（www.ccgp.gov.cn ）政府采购严重违法失信行为记录名单中被财政部门禁止参加政府采购活动的供应商；将网页截图附在响应文件中。</w:t>
            </w:r>
          </w:p>
        </w:tc>
        <w:tc>
          <w:tcPr>
            <w:tcW w:type="dxa" w:w="1661"/>
          </w:tcPr>
          <w:p>
            <w:pPr>
              <w:pStyle w:val="null3"/>
            </w:pPr>
            <w:r>
              <w:rPr>
                <w:rFonts w:ascii="仿宋_GB2312" w:hAnsi="仿宋_GB2312" w:cs="仿宋_GB2312" w:eastAsia="仿宋_GB2312"/>
              </w:rPr>
              <w:t>供应商信用记录书面声明函.docx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磋商响应文件内容齐全、无遗漏且符合采购文件要求</w:t>
            </w:r>
          </w:p>
        </w:tc>
        <w:tc>
          <w:tcPr>
            <w:tcW w:type="dxa" w:w="1661"/>
          </w:tcPr>
          <w:p>
            <w:pPr>
              <w:pStyle w:val="null3"/>
            </w:pPr>
            <w:r>
              <w:rPr>
                <w:rFonts w:ascii="仿宋_GB2312" w:hAnsi="仿宋_GB2312" w:cs="仿宋_GB2312" w:eastAsia="仿宋_GB2312"/>
              </w:rPr>
              <w:t>服务内容及服务邀请应答表 中小企业声明函 承诺书格式.docx 商务应答表 供应商应提交的相关资格证明材料 报价表 非联合体不分包投标声明.docx 法定代表人证明书和法定代表人授权书.docx 响应文件封面 供应商信用记录书面声明函.docx 残疾人福利性单位声明函 服务方案 标的清单 响应函 参加政府采购活动前3年内，在经营活动中没有重大违法记录的书面声明.docx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响应文件中要求盖章签字的地方，均按照文件要求签字或盖章；</w:t>
            </w:r>
          </w:p>
        </w:tc>
        <w:tc>
          <w:tcPr>
            <w:tcW w:type="dxa" w:w="1661"/>
          </w:tcPr>
          <w:p>
            <w:pPr>
              <w:pStyle w:val="null3"/>
            </w:pPr>
            <w:r>
              <w:rPr>
                <w:rFonts w:ascii="仿宋_GB2312" w:hAnsi="仿宋_GB2312" w:cs="仿宋_GB2312" w:eastAsia="仿宋_GB2312"/>
              </w:rPr>
              <w:t>服务内容及服务邀请应答表 中小企业声明函 承诺书格式.docx 商务应答表 供应商应提交的相关资格证明材料 报价表 非联合体不分包投标声明.docx 法定代表人证明书和法定代表人授权书.docx 响应文件封面 供应商信用记录书面声明函.docx 残疾人福利性单位声明函 服务方案 标的清单 响应函 参加政府采购活动前3年内，在经营活动中没有重大违法记录的书面声明.docx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（1）货币单位符合采购文件要求 （2）报价符合唯一性要求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供应商对本项目产业园区用地调查工作内容及特点理解全面，分析到位、透彻，根据响应程度计0-5分。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针对本项目需求及特点制定实施方案。方案合理、有效，能满足项目需求的得11-15分；方案较合理，基本满足项目需求的得6-10分；方案一般，内容明确得1-5分；未提供不得分。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工作进度保障措施</w:t>
            </w:r>
          </w:p>
        </w:tc>
        <w:tc>
          <w:tcPr>
            <w:tcW w:type="dxa" w:w="2492"/>
          </w:tcPr>
          <w:p>
            <w:pPr>
              <w:pStyle w:val="null3"/>
            </w:pPr>
            <w:r>
              <w:rPr>
                <w:rFonts w:ascii="仿宋_GB2312" w:hAnsi="仿宋_GB2312" w:cs="仿宋_GB2312" w:eastAsia="仿宋_GB2312"/>
              </w:rPr>
              <w:t>工作进度保障措施得当、合理、可行，能够按照规定时间完成任务，制定的进度控制措施具有较强的可操作性得7-10分；工作进度保障措施基本合理可行，能够制定进度控制措施等得4-6分；工作进度保障措施可操作性一般，进度控制措施粗略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信息保密方案及措施</w:t>
            </w:r>
          </w:p>
        </w:tc>
        <w:tc>
          <w:tcPr>
            <w:tcW w:type="dxa" w:w="2492"/>
          </w:tcPr>
          <w:p>
            <w:pPr>
              <w:pStyle w:val="null3"/>
            </w:pPr>
            <w:r>
              <w:rPr>
                <w:rFonts w:ascii="仿宋_GB2312" w:hAnsi="仿宋_GB2312" w:cs="仿宋_GB2312" w:eastAsia="仿宋_GB2312"/>
              </w:rPr>
              <w:t>针对本项目数据及成果的信息保密出具整体方案及对应措施。 方案考虑全面，措施合理有效，执行性强得7-10分；方案考虑基本完善，措施有效，执行性强得4-6分；方案较为简略，但措施有效，可执行得1-3分；未提供不得分。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障措施完善具有可行性、对各阶段的质量进行了准确的目标分解、对质量控制各分解目标有明确的控制点且合理，得7-10分；质量保障措施部分具有可行性，对各阶段的质量进行了目标分解，但对质量控制各分解目标明确的控制点部分合理，得4-6分；质量保障措施对各阶段的质量控制点粗略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根据供应商提供的对成果文件的准确性、服务时限内团队稳定性、人员到位情况、服务质量等相关内容做出的承诺进行赋分。 承诺全面、详实，服务质量配合承诺清晰明确，得7-10分；承诺较为详实全面，服务质量配合承诺基本完善，得4-6分；承诺不全面，服务质量配合承诺较为简略，得1-3分；未提供不得分。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1、拟派项目负责人：具有十年以上土地估价资质得4分；（附资质证书及聘书复印件并加盖公章） 2、根据拟派服务团队的人员数量、专业技术能力、从业经历等赋分。 人员经验丰富、配备合理充足，证明材料齐全得6分； 人员有一定经验、人员配备无严重缺漏，但有证明材料得4分；人员缺乏经验、配备情况无法充分完成服务工作，且证明材料不足得2分； 未提供或人员配备完全无法胜任本项目工作的得0分。（服务团队人员需具备注册估价师（土地）证书）</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近三年（2022年8月1日至开标当日）供应商具有类似项目业绩得3分，满分为15分。磋商文件中须提供中标通知书或合同（含合同首页、签字盖章页、签字盖章页）的复印件并加盖供应商公章。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满足招标文件要求且投标价格最低的投标报价为评标基准价，其价格分为满分15分。其它供应商的价格分统一按照下列公式计算：投标报价得分=（评标基准价/投标报价）×价格分值。 注：评委会二分之一以上专家认为某投标报价有低于成本价嫌疑的，为无效报价。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详见附件：参加政府采购活动前3年内，在经营活动中没有重大违法记录的书面声明.docx</w:t>
      </w:r>
    </w:p>
    <w:p>
      <w:pPr>
        <w:pStyle w:val="null3"/>
        <w:ind w:firstLine="960"/>
      </w:pPr>
      <w:r>
        <w:rPr>
          <w:rFonts w:ascii="仿宋_GB2312" w:hAnsi="仿宋_GB2312" w:cs="仿宋_GB2312" w:eastAsia="仿宋_GB2312"/>
        </w:rPr>
        <w:t>详见附件：法定代表人证明书和法定代表人授权书.docx</w:t>
      </w:r>
    </w:p>
    <w:p>
      <w:pPr>
        <w:pStyle w:val="null3"/>
        <w:ind w:firstLine="960"/>
      </w:pPr>
      <w:r>
        <w:rPr>
          <w:rFonts w:ascii="仿宋_GB2312" w:hAnsi="仿宋_GB2312" w:cs="仿宋_GB2312" w:eastAsia="仿宋_GB2312"/>
        </w:rPr>
        <w:t>详见附件：供应商信用记录书面声明函.docx</w:t>
      </w:r>
    </w:p>
    <w:p>
      <w:pPr>
        <w:pStyle w:val="null3"/>
        <w:ind w:firstLine="960"/>
      </w:pPr>
      <w:r>
        <w:rPr>
          <w:rFonts w:ascii="仿宋_GB2312" w:hAnsi="仿宋_GB2312" w:cs="仿宋_GB2312" w:eastAsia="仿宋_GB2312"/>
        </w:rPr>
        <w:t>详见附件：承诺书格式.docx</w:t>
      </w:r>
    </w:p>
    <w:p>
      <w:pPr>
        <w:pStyle w:val="null3"/>
        <w:ind w:firstLine="960"/>
      </w:pPr>
      <w:r>
        <w:rPr>
          <w:rFonts w:ascii="仿宋_GB2312" w:hAnsi="仿宋_GB2312" w:cs="仿宋_GB2312" w:eastAsia="仿宋_GB2312"/>
        </w:rPr>
        <w:t>详见附件：非联合体不分包投标声明.docx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