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版本号：SXGLZFCG2025-036号20250827001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铜川果业科技创新研发基地建设项目代建服务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SXGLZFCG2025-036号</w:t>
      </w:r>
      <w:r>
        <w:br/>
      </w:r>
      <w:r>
        <w:br/>
      </w:r>
      <w:r>
        <w:br/>
      </w:r>
    </w:p>
    <w:p>
      <w:pPr>
        <w:pStyle w:val="null3"/>
        <w:jc w:val="center"/>
        <w:outlineLvl w:val="2"/>
      </w:pPr>
      <w:r>
        <w:rPr>
          <w:rFonts w:ascii="仿宋_GB2312" w:hAnsi="仿宋_GB2312" w:cs="仿宋_GB2312" w:eastAsia="仿宋_GB2312"/>
          <w:sz w:val="28"/>
          <w:b/>
        </w:rPr>
        <w:t>铜川市果业发展中心</w:t>
      </w:r>
    </w:p>
    <w:p>
      <w:pPr>
        <w:pStyle w:val="null3"/>
        <w:jc w:val="center"/>
        <w:outlineLvl w:val="2"/>
      </w:pPr>
      <w:r>
        <w:rPr>
          <w:rFonts w:ascii="仿宋_GB2312" w:hAnsi="仿宋_GB2312" w:cs="仿宋_GB2312" w:eastAsia="仿宋_GB2312"/>
          <w:sz w:val="28"/>
          <w:b/>
        </w:rPr>
        <w:t>陕西公立工程项目管理咨询有限公司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陕西公立工程项目管理咨询有限公司</w:t>
      </w:r>
      <w:r>
        <w:rPr>
          <w:rFonts w:ascii="仿宋_GB2312" w:hAnsi="仿宋_GB2312" w:cs="仿宋_GB2312" w:eastAsia="仿宋_GB2312"/>
        </w:rPr>
        <w:t>（以下简称“代理机构”）受</w:t>
      </w:r>
      <w:r>
        <w:rPr>
          <w:rFonts w:ascii="仿宋_GB2312" w:hAnsi="仿宋_GB2312" w:cs="仿宋_GB2312" w:eastAsia="仿宋_GB2312"/>
        </w:rPr>
        <w:t>铜川市果业发展中心</w:t>
      </w:r>
      <w:r>
        <w:rPr>
          <w:rFonts w:ascii="仿宋_GB2312" w:hAnsi="仿宋_GB2312" w:cs="仿宋_GB2312" w:eastAsia="仿宋_GB2312"/>
        </w:rPr>
        <w:t>委托，拟对</w:t>
      </w:r>
      <w:r>
        <w:rPr>
          <w:rFonts w:ascii="仿宋_GB2312" w:hAnsi="仿宋_GB2312" w:cs="仿宋_GB2312" w:eastAsia="仿宋_GB2312"/>
        </w:rPr>
        <w:t>铜川果业科技创新研发基地建设项目代建服务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SXGLZFCG2025-036号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铜川果业科技创新研发基地建设项目代建服务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铜川果业科技创新研发基地建设项目位于铜川市耀州区小丘镇移寨村，本项目主要分为铜川果业科技创新科研基地和铜川果业科技创新实验基地两部分。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采购包1（铜川果业科技创新研发基地建设项目代建服务）：属于专门面向中小企业采购。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供应商提供2022年至今任意一年的财务审计报告(成立时间至提交响应文件截止时间不足年的可提供成立后任意时段的资产负债表)，或其基本存款账户开户银行出具的资信或资金证明(复印件加盖供应商公章)；</w:t>
      </w:r>
    </w:p>
    <w:p>
      <w:pPr>
        <w:pStyle w:val="null3"/>
      </w:pPr>
      <w:r>
        <w:rPr>
          <w:rFonts w:ascii="仿宋_GB2312" w:hAnsi="仿宋_GB2312" w:cs="仿宋_GB2312" w:eastAsia="仿宋_GB2312"/>
        </w:rPr>
        <w:t>3、法人身份证明或授权委托：法人身份证明或授权委托：法定代表人参加磋商须出具法定代表人身份证明（并附有效证件），被授权代理人参加磋商须出具法定代表人授权书及被授权人有效证件</w:t>
      </w:r>
    </w:p>
    <w:p>
      <w:pPr>
        <w:pStyle w:val="null3"/>
      </w:pPr>
      <w:r>
        <w:rPr>
          <w:rFonts w:ascii="仿宋_GB2312" w:hAnsi="仿宋_GB2312" w:cs="仿宋_GB2312" w:eastAsia="仿宋_GB2312"/>
        </w:rPr>
        <w:t>4、税收缴纳证明：提供响应文件递交截止时间前6个月内任意1个月已缴纳完税凭证（任意税种）或税务机关开具的完税证明（任意税种），依法免税的单位应提供相关证明材料；</w:t>
      </w:r>
    </w:p>
    <w:p>
      <w:pPr>
        <w:pStyle w:val="null3"/>
      </w:pPr>
      <w:r>
        <w:rPr>
          <w:rFonts w:ascii="仿宋_GB2312" w:hAnsi="仿宋_GB2312" w:cs="仿宋_GB2312" w:eastAsia="仿宋_GB2312"/>
        </w:rPr>
        <w:t>5、社会保障资金缴纳证明：提供响应文件递交截止时间前6个月内任意1个月已缴存的任意时段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6、无重大违法记录声明：参加政府采购活动近三年内，在经营活动中没有重大违法记录，提供书面声明；</w:t>
      </w:r>
    </w:p>
    <w:p>
      <w:pPr>
        <w:pStyle w:val="null3"/>
      </w:pPr>
      <w:r>
        <w:rPr>
          <w:rFonts w:ascii="仿宋_GB2312" w:hAnsi="仿宋_GB2312" w:cs="仿宋_GB2312" w:eastAsia="仿宋_GB2312"/>
        </w:rPr>
        <w:t>7、履行能力：具有履行合同所必需的设备和专业技术能力，提供证明材料或书面承诺并加盖公章；</w:t>
      </w:r>
    </w:p>
    <w:p>
      <w:pPr>
        <w:pStyle w:val="null3"/>
      </w:pPr>
      <w:r>
        <w:rPr>
          <w:rFonts w:ascii="仿宋_GB2312" w:hAnsi="仿宋_GB2312" w:cs="仿宋_GB2312" w:eastAsia="仿宋_GB2312"/>
        </w:rPr>
        <w:t>8、供应商信誉：供应商不得为“信用中国”网站（www.creditchina.gov.cn）中列入失信被执行人和重大税收违法失信主体名单的供应商，不得为中国政府采购网（www.ccgp.go 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铜川市果业发展中心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陕西省铜川市新区朝阳路铜川政务10楼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白雅妮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0919-3185854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陕西公立工程项目管理咨询有限公司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铜川市新区铁诺南路6号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09192182986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采购包1：529,200.00元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铜川市果业发展中心</w:t>
      </w:r>
      <w:r>
        <w:rPr>
          <w:rFonts w:ascii="仿宋_GB2312" w:hAnsi="仿宋_GB2312" w:cs="仿宋_GB2312" w:eastAsia="仿宋_GB2312"/>
        </w:rPr>
        <w:t>和</w:t>
      </w:r>
      <w:r>
        <w:rPr>
          <w:rFonts w:ascii="仿宋_GB2312" w:hAnsi="仿宋_GB2312" w:cs="仿宋_GB2312" w:eastAsia="仿宋_GB2312"/>
        </w:rPr>
        <w:t>陕西公立工程项目管理咨询有限公司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铜川市果业发展中心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陕西公立工程项目管理咨询有限公司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铜川市果业发展中心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陕西公立工程项目管理咨询有限公司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联系电话：0919-2182986</w:t>
      </w:r>
    </w:p>
    <w:p>
      <w:pPr>
        <w:pStyle w:val="null3"/>
      </w:pPr>
      <w:r>
        <w:rPr>
          <w:rFonts w:ascii="仿宋_GB2312" w:hAnsi="仿宋_GB2312" w:cs="仿宋_GB2312" w:eastAsia="仿宋_GB2312"/>
        </w:rPr>
        <w:t>地址：铜川市新区铁诺南路6号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铜川果业科技创新研发基地建设项目位于铜川市耀州区小丘镇移寨村，本项目主要分为铜川果业科技创新科研基地和铜川果业科技创新实验基地两部分。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529,200.00</w:t>
      </w:r>
    </w:p>
    <w:p>
      <w:pPr>
        <w:pStyle w:val="null3"/>
      </w:pPr>
      <w:r>
        <w:rPr>
          <w:rFonts w:ascii="仿宋_GB2312" w:hAnsi="仿宋_GB2312" w:cs="仿宋_GB2312" w:eastAsia="仿宋_GB2312"/>
        </w:rPr>
        <w:t>采购包最高限价（元）: 529,200.00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铜川果业科技创新研发基地建设项目代建服务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529,200.00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标的名称：铜川果业科技创新研发基地建设项目代建服务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1"/>
              </w:rPr>
              <w:t>一、项目概况</w:t>
            </w:r>
          </w:p>
          <w:p>
            <w:pPr>
              <w:pStyle w:val="null3"/>
              <w:ind w:firstLine="480"/>
              <w:jc w:val="both"/>
            </w:pPr>
            <w:r>
              <w:rPr>
                <w:rFonts w:ascii="仿宋_GB2312" w:hAnsi="仿宋_GB2312" w:cs="仿宋_GB2312" w:eastAsia="仿宋_GB2312"/>
                <w:sz w:val="21"/>
              </w:rPr>
              <w:t>铜川果业科技创新研发基地建设项目</w:t>
            </w:r>
            <w:r>
              <w:rPr>
                <w:rFonts w:ascii="仿宋_GB2312" w:hAnsi="仿宋_GB2312" w:cs="仿宋_GB2312" w:eastAsia="仿宋_GB2312"/>
                <w:sz w:val="21"/>
              </w:rPr>
              <w:t>位于铜川市耀州区小丘镇移寨村，本项目主要分为两部分：</w:t>
            </w:r>
            <w:r>
              <w:rPr>
                <w:rFonts w:ascii="仿宋_GB2312" w:hAnsi="仿宋_GB2312" w:cs="仿宋_GB2312" w:eastAsia="仿宋_GB2312"/>
                <w:sz w:val="21"/>
              </w:rPr>
              <w:t>1.铜川果业科技创新科研基地：2.铜川果业科技创新实验基地。</w:t>
            </w:r>
          </w:p>
          <w:p>
            <w:pPr>
              <w:pStyle w:val="null3"/>
              <w:ind w:firstLine="480"/>
              <w:jc w:val="both"/>
            </w:pPr>
            <w:r>
              <w:rPr>
                <w:rFonts w:ascii="仿宋_GB2312" w:hAnsi="仿宋_GB2312" w:cs="仿宋_GB2312" w:eastAsia="仿宋_GB2312"/>
                <w:sz w:val="21"/>
              </w:rPr>
              <w:t>铜川果业科技创新科研基地：新建框架结构科研实验用房、钢结构配套冷库、砖混结构物资库、加工车间、消防水泵房、农机棚等设施，配套建设室外电气系统、室外给排水系统、室外燃气系统、室外照明系统等。配备组织培养设备、果品品质分析设备、苗木病毒检测设备、土壤质量检测设备、病虫检测设备、生产加工设备、办公设施设备等。</w:t>
            </w:r>
          </w:p>
          <w:p>
            <w:pPr>
              <w:pStyle w:val="null3"/>
              <w:ind w:firstLine="480"/>
              <w:jc w:val="both"/>
            </w:pPr>
            <w:r>
              <w:rPr>
                <w:rFonts w:ascii="仿宋_GB2312" w:hAnsi="仿宋_GB2312" w:cs="仿宋_GB2312" w:eastAsia="仿宋_GB2312"/>
                <w:sz w:val="21"/>
              </w:rPr>
              <w:t>铜川果业科技创新实验基地：新建设施大棚、樱桃避雨棚、露地苗木繁育区、露地砧穗采集区、露地品种展示区、露地试验区、灌溉系统（滴灌、喷灌），挖除现状苗木、改良土壤并配套建设道路硬化及铁丝网围栏等。配备灌溉首部设备、樱桃树、苹果树、其他果树及其他配套设施设备等。</w:t>
            </w:r>
          </w:p>
          <w:p>
            <w:pPr>
              <w:pStyle w:val="null3"/>
              <w:ind w:firstLine="480"/>
              <w:jc w:val="both"/>
            </w:pPr>
            <w:r>
              <w:rPr>
                <w:rFonts w:ascii="仿宋_GB2312" w:hAnsi="仿宋_GB2312" w:cs="仿宋_GB2312" w:eastAsia="仿宋_GB2312"/>
                <w:sz w:val="21"/>
              </w:rPr>
              <w:t>二、服务内容</w:t>
            </w:r>
          </w:p>
          <w:p>
            <w:pPr>
              <w:pStyle w:val="null3"/>
              <w:ind w:firstLine="480"/>
              <w:jc w:val="both"/>
            </w:pPr>
            <w:r>
              <w:rPr>
                <w:rFonts w:ascii="仿宋_GB2312" w:hAnsi="仿宋_GB2312" w:cs="仿宋_GB2312" w:eastAsia="仿宋_GB2312"/>
                <w:sz w:val="21"/>
              </w:rPr>
              <w:t>项目的全过程管理，具体包括建设前期报批报建（包括项目初步设计、规划、土地、水保、稳评、环评等）、检测评估、勘察、设计、按照</w:t>
            </w:r>
            <w:r>
              <w:rPr>
                <w:rFonts w:ascii="仿宋_GB2312" w:hAnsi="仿宋_GB2312" w:cs="仿宋_GB2312" w:eastAsia="仿宋_GB2312"/>
                <w:sz w:val="21"/>
              </w:rPr>
              <w:t>市行政审批服务局</w:t>
            </w:r>
            <w:r>
              <w:rPr>
                <w:rFonts w:ascii="仿宋_GB2312" w:hAnsi="仿宋_GB2312" w:cs="仿宋_GB2312" w:eastAsia="仿宋_GB2312"/>
                <w:sz w:val="21"/>
              </w:rPr>
              <w:t>批准及甲方确定的设计方案及施工图纸执行的施工管理、采购管理；施工、采购的招标管理；竣工验收和竣工结算审核管理等。并对工程项目进行质量、安全、进度、合同、信息等管理和控制，直至办理竣工决算移交等全过程的建设管理。</w:t>
            </w:r>
          </w:p>
          <w:p>
            <w:pPr>
              <w:pStyle w:val="null3"/>
              <w:ind w:firstLine="480"/>
              <w:jc w:val="both"/>
            </w:pPr>
            <w:r>
              <w:rPr>
                <w:rFonts w:ascii="仿宋_GB2312" w:hAnsi="仿宋_GB2312" w:cs="仿宋_GB2312" w:eastAsia="仿宋_GB2312"/>
                <w:sz w:val="21"/>
              </w:rPr>
              <w:t>三、服务期限</w:t>
            </w:r>
          </w:p>
          <w:p>
            <w:pPr>
              <w:pStyle w:val="null3"/>
              <w:ind w:firstLine="480"/>
              <w:jc w:val="both"/>
            </w:pPr>
            <w:r>
              <w:rPr>
                <w:rFonts w:ascii="仿宋_GB2312" w:hAnsi="仿宋_GB2312" w:cs="仿宋_GB2312" w:eastAsia="仿宋_GB2312"/>
                <w:sz w:val="21"/>
              </w:rPr>
              <w:t>合同签订之日起至项目</w:t>
            </w:r>
            <w:r>
              <w:rPr>
                <w:rFonts w:ascii="仿宋_GB2312" w:hAnsi="仿宋_GB2312" w:cs="仿宋_GB2312" w:eastAsia="仿宋_GB2312"/>
                <w:sz w:val="21"/>
              </w:rPr>
              <w:t>工程</w:t>
            </w:r>
            <w:r>
              <w:rPr>
                <w:rFonts w:ascii="仿宋_GB2312" w:hAnsi="仿宋_GB2312" w:cs="仿宋_GB2312" w:eastAsia="仿宋_GB2312"/>
                <w:sz w:val="21"/>
              </w:rPr>
              <w:t>结算移交之日止的全过程代建服务。</w:t>
            </w:r>
          </w:p>
          <w:p>
            <w:pPr>
              <w:pStyle w:val="null3"/>
              <w:ind w:firstLine="480"/>
              <w:jc w:val="both"/>
            </w:pPr>
            <w:r>
              <w:rPr>
                <w:rFonts w:ascii="仿宋_GB2312" w:hAnsi="仿宋_GB2312" w:cs="仿宋_GB2312" w:eastAsia="仿宋_GB2312"/>
                <w:sz w:val="21"/>
              </w:rPr>
              <w:t>四、服务标准</w:t>
            </w:r>
          </w:p>
          <w:p>
            <w:pPr>
              <w:pStyle w:val="null3"/>
              <w:ind w:firstLine="480"/>
              <w:jc w:val="both"/>
            </w:pPr>
            <w:r>
              <w:rPr>
                <w:rFonts w:ascii="仿宋_GB2312" w:hAnsi="仿宋_GB2312" w:cs="仿宋_GB2312" w:eastAsia="仿宋_GB2312"/>
                <w:sz w:val="21"/>
              </w:rPr>
              <w:t>1. 项目建设过程中严格执行国家、省、市规定的标准、政策和现行技术规范、规程要求。</w:t>
            </w:r>
          </w:p>
          <w:p>
            <w:pPr>
              <w:pStyle w:val="null3"/>
              <w:ind w:firstLine="480"/>
              <w:jc w:val="both"/>
            </w:pPr>
            <w:r>
              <w:rPr>
                <w:rFonts w:ascii="仿宋_GB2312" w:hAnsi="仿宋_GB2312" w:cs="仿宋_GB2312" w:eastAsia="仿宋_GB2312"/>
                <w:sz w:val="21"/>
              </w:rPr>
              <w:t>2. 保证工程进度、满足工程质量、安全生产、治污减霾等达标，制定工程进度、安全生产等管理应急预案，确保目标实现。</w:t>
            </w:r>
          </w:p>
          <w:p>
            <w:pPr>
              <w:pStyle w:val="null3"/>
              <w:ind w:firstLine="480"/>
              <w:jc w:val="both"/>
            </w:pPr>
            <w:r>
              <w:rPr>
                <w:rFonts w:ascii="仿宋_GB2312" w:hAnsi="仿宋_GB2312" w:cs="仿宋_GB2312" w:eastAsia="仿宋_GB2312"/>
                <w:sz w:val="21"/>
              </w:rPr>
              <w:t>3. 在项目代建期，遵守国家有关法律、法规，维护采购人(建设单位)方的合法权益。严格按照政府关于工程建设的规定和制度履行职责，接受相关主管部门的监督，并承担相应的责任。</w:t>
            </w:r>
          </w:p>
          <w:p>
            <w:pPr>
              <w:pStyle w:val="null3"/>
              <w:ind w:firstLine="480"/>
              <w:jc w:val="both"/>
            </w:pPr>
            <w:r>
              <w:rPr>
                <w:rFonts w:ascii="仿宋_GB2312" w:hAnsi="仿宋_GB2312" w:cs="仿宋_GB2312" w:eastAsia="仿宋_GB2312"/>
                <w:sz w:val="21"/>
              </w:rPr>
              <w:t>五、服务要求</w:t>
            </w:r>
          </w:p>
          <w:p>
            <w:pPr>
              <w:pStyle w:val="null3"/>
              <w:ind w:firstLine="480"/>
              <w:jc w:val="both"/>
            </w:pPr>
            <w:r>
              <w:rPr>
                <w:rFonts w:ascii="仿宋_GB2312" w:hAnsi="仿宋_GB2312" w:cs="仿宋_GB2312" w:eastAsia="仿宋_GB2312"/>
                <w:sz w:val="21"/>
              </w:rPr>
              <w:t>1. 标准责任目标</w:t>
            </w:r>
          </w:p>
          <w:p>
            <w:pPr>
              <w:pStyle w:val="null3"/>
              <w:ind w:firstLine="480"/>
              <w:jc w:val="both"/>
            </w:pPr>
            <w:r>
              <w:rPr>
                <w:rFonts w:ascii="仿宋_GB2312" w:hAnsi="仿宋_GB2312" w:cs="仿宋_GB2312" w:eastAsia="仿宋_GB2312"/>
                <w:sz w:val="21"/>
              </w:rPr>
              <w:t>严格控制工程建设的投资和标准，按照既定目标和标准完成建设项目。</w:t>
            </w:r>
          </w:p>
          <w:p>
            <w:pPr>
              <w:pStyle w:val="null3"/>
              <w:numPr>
                <w:ilvl w:val="0"/>
                <w:numId w:val="1"/>
              </w:numPr>
              <w:jc w:val="both"/>
            </w:pPr>
            <w:r>
              <w:rPr>
                <w:rFonts w:ascii="仿宋_GB2312" w:hAnsi="仿宋_GB2312" w:cs="仿宋_GB2312" w:eastAsia="仿宋_GB2312"/>
                <w:sz w:val="21"/>
              </w:rPr>
              <w:t>建设工期责任目标</w:t>
            </w:r>
          </w:p>
          <w:p>
            <w:pPr>
              <w:pStyle w:val="null3"/>
              <w:ind w:firstLine="480"/>
              <w:jc w:val="both"/>
            </w:pPr>
            <w:r>
              <w:rPr>
                <w:rFonts w:ascii="仿宋_GB2312" w:hAnsi="仿宋_GB2312" w:cs="仿宋_GB2312" w:eastAsia="仿宋_GB2312"/>
                <w:sz w:val="21"/>
              </w:rPr>
              <w:t>建设工期严格控制在建设合同工期内。</w:t>
            </w:r>
          </w:p>
          <w:p>
            <w:pPr>
              <w:pStyle w:val="null3"/>
              <w:numPr>
                <w:ilvl w:val="0"/>
                <w:numId w:val="1"/>
              </w:numPr>
              <w:jc w:val="both"/>
            </w:pPr>
            <w:r>
              <w:rPr>
                <w:rFonts w:ascii="仿宋_GB2312" w:hAnsi="仿宋_GB2312" w:cs="仿宋_GB2312" w:eastAsia="仿宋_GB2312"/>
                <w:sz w:val="21"/>
              </w:rPr>
              <w:t>工程质量责任目标</w:t>
            </w:r>
          </w:p>
          <w:p>
            <w:pPr>
              <w:pStyle w:val="null3"/>
              <w:ind w:firstLine="480"/>
              <w:jc w:val="both"/>
            </w:pPr>
            <w:r>
              <w:rPr>
                <w:rFonts w:ascii="仿宋_GB2312" w:hAnsi="仿宋_GB2312" w:cs="仿宋_GB2312" w:eastAsia="仿宋_GB2312"/>
                <w:sz w:val="21"/>
              </w:rPr>
              <w:t>按国家有关规定，规范组织建设，工程质量达到规定的工程施工质量验收标准和检验评定标准。</w:t>
            </w:r>
          </w:p>
          <w:p>
            <w:pPr>
              <w:pStyle w:val="null3"/>
              <w:numPr>
                <w:ilvl w:val="0"/>
                <w:numId w:val="1"/>
              </w:numPr>
              <w:jc w:val="both"/>
            </w:pPr>
            <w:r>
              <w:rPr>
                <w:rFonts w:ascii="仿宋_GB2312" w:hAnsi="仿宋_GB2312" w:cs="仿宋_GB2312" w:eastAsia="仿宋_GB2312"/>
                <w:sz w:val="21"/>
              </w:rPr>
              <w:t>建设安全责任目标</w:t>
            </w:r>
          </w:p>
          <w:p>
            <w:pPr>
              <w:pStyle w:val="null3"/>
              <w:ind w:firstLine="480"/>
              <w:jc w:val="both"/>
            </w:pPr>
            <w:r>
              <w:rPr>
                <w:rFonts w:ascii="仿宋_GB2312" w:hAnsi="仿宋_GB2312" w:cs="仿宋_GB2312" w:eastAsia="仿宋_GB2312"/>
                <w:sz w:val="21"/>
              </w:rPr>
              <w:t>(1)建设工程无安全责任事故，成交供应商严格监督工程建设各方严格落实工程安全管理制度；</w:t>
            </w:r>
          </w:p>
          <w:p>
            <w:pPr>
              <w:pStyle w:val="null3"/>
              <w:ind w:firstLine="480"/>
              <w:jc w:val="both"/>
            </w:pPr>
            <w:r>
              <w:rPr>
                <w:rFonts w:ascii="仿宋_GB2312" w:hAnsi="仿宋_GB2312" w:cs="仿宋_GB2312" w:eastAsia="仿宋_GB2312"/>
                <w:sz w:val="21"/>
              </w:rPr>
              <w:t>(2)督促各方严格执行《安全生产法》《建设工程安全产管理条例》和其他有关安全生产的法规，以及保障安全生产的有关规章、规定和标准，加强建设项目安全管理，监督检查承包人落实安全生产措施。</w:t>
            </w:r>
          </w:p>
          <w:p>
            <w:pPr>
              <w:pStyle w:val="null3"/>
              <w:ind w:firstLine="480"/>
              <w:jc w:val="both"/>
            </w:pPr>
            <w:r>
              <w:rPr>
                <w:rFonts w:ascii="仿宋_GB2312" w:hAnsi="仿宋_GB2312" w:cs="仿宋_GB2312" w:eastAsia="仿宋_GB2312"/>
                <w:sz w:val="21"/>
              </w:rPr>
              <w:t>5. 建设行为责任目标</w:t>
            </w:r>
          </w:p>
          <w:p>
            <w:pPr>
              <w:pStyle w:val="null3"/>
              <w:ind w:firstLine="480"/>
              <w:jc w:val="both"/>
            </w:pPr>
            <w:r>
              <w:rPr>
                <w:rFonts w:ascii="仿宋_GB2312" w:hAnsi="仿宋_GB2312" w:cs="仿宋_GB2312" w:eastAsia="仿宋_GB2312"/>
                <w:sz w:val="21"/>
              </w:rPr>
              <w:t>(1)遵守国家关于市场准入、项目招标投标、工程建设、工程监理和市场活动等有关法律、法规及相关政策；严格执行建设工程合同、协议文件，自觉按合同办事；各项业务坚持公开、公正、诚信的原则，不得违反工程建设管理、施工安装、工程监理、建设管理等规章制度。</w:t>
            </w:r>
          </w:p>
          <w:p>
            <w:pPr>
              <w:pStyle w:val="null3"/>
              <w:ind w:firstLine="480"/>
              <w:jc w:val="both"/>
            </w:pPr>
            <w:r>
              <w:rPr>
                <w:rFonts w:ascii="仿宋_GB2312" w:hAnsi="仿宋_GB2312" w:cs="仿宋_GB2312" w:eastAsia="仿宋_GB2312"/>
                <w:sz w:val="21"/>
              </w:rPr>
              <w:t>(2)建设管理全过程公开透明，杜绝暗箱操作，建设廉洁、优质、高效工程，预防腐败，杜绝各类违法、违纪行为发生，加强项目管理和廉政建设，严格执行财务管理有关规定，做好建设项目协调工作。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根据项目实施内容配置相应的人员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根据项目实施内容配置相应的设施设备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合同签订之日起至项目工程结算移交之日止的全过程代建服务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 （二）验收依据 1、本项目竞争性磋商文件、响应文件； 2、本合同及附件文本； 3、合同签订时国家及行业现行的标准和技术规范。 4、供应商应向采购人提交项目实施过程中的所有资料，以便采购人日后管理和维护。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本合同经双方签字盖章生效后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项目施工进度经双方书面确认达到60%后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项目全部施工完毕并通过竣工验收，且双方完成审计结算并签订结算协议后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未按合同或竞争性磋商文件要求提供服务质量不能满足采购人技术要求，采购人有权终止合同，并对供应商违约行为进行追究。具体违约情况及解决方法以实际签订合同为准。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竞争性磋商响应文件，同时，于开标前线下提交竞争性磋商响应文件纸质版至陕西省铜川市新区铁诺南路6号（铜川市国有资本投资运营有限公司）院内1楼102室，响应文件正本一份，副本一份，电子U盘一份。竞争性磋商响应文件纸质版正本、副本与电子版一同密封，且在封袋正面标明“竞争性磋商响应文件纸质版”字样。封袋应加贴封条，并在封线处加盖供应商公章，封袋正面要粘贴供应商全称、项目名称、编号等标识。若电子竞争性磋商响应文件与纸质竞争性磋商响应文件不一致的，以电子竞争性磋商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合格供应商</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供应商提供2022年至今任意一年的财务审计报告(成立时间至提交响应文件截止时间不足年的可提供成立后任意时段的资产负债表)，或其基本存款账户开户银行出具的资信或资金证明(复印件加盖供应商公章)；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法人身份证明或授权委托</w:t>
            </w:r>
          </w:p>
        </w:tc>
        <w:tc>
          <w:tcPr>
            <w:tcW w:type="dxa" w:w="3322"/>
          </w:tcPr>
          <w:p>
            <w:pPr>
              <w:pStyle w:val="null3"/>
            </w:pPr>
            <w:r>
              <w:rPr>
                <w:rFonts w:ascii="仿宋_GB2312" w:hAnsi="仿宋_GB2312" w:cs="仿宋_GB2312" w:eastAsia="仿宋_GB2312"/>
              </w:rPr>
              <w:t>法人身份证明或授权委托：法定代表人参加磋商须出具法定代表人身份证明（并附有效证件），被授权代理人参加磋商须出具法定代表人授权书及被授权人有效证件</w:t>
            </w:r>
          </w:p>
        </w:tc>
        <w:tc>
          <w:tcPr>
            <w:tcW w:type="dxa" w:w="1661"/>
          </w:tcPr>
          <w:p>
            <w:pPr>
              <w:pStyle w:val="null3"/>
            </w:pPr>
            <w:r>
              <w:rPr>
                <w:rFonts w:ascii="仿宋_GB2312" w:hAnsi="仿宋_GB2312" w:cs="仿宋_GB2312" w:eastAsia="仿宋_GB2312"/>
              </w:rPr>
              <w:t>法定代表人身份证明书.docx 供应商应提交的相关资格证明材料.docx 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提供响应文件递交截止时间前6个月内任意1个月已缴纳完税凭证（任意税种）或税务机关开具的完税证明（任意税种），依法免税的单位应提供相关证明材料；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提供响应文件递交截止时间前6个月内任意1个月已缴存的任意时段的社会保障资金缴存单据或社保机构开具的社会保险参保缴费情况证明，依法不需要缴纳社会保障资金的单位应提供相关证明材料；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 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响应文件格式、签署盖章</w:t>
            </w:r>
          </w:p>
        </w:tc>
        <w:tc>
          <w:tcPr>
            <w:tcW w:type="dxa" w:w="3322"/>
          </w:tcPr>
          <w:p>
            <w:pPr>
              <w:pStyle w:val="null3"/>
            </w:pPr>
            <w:r>
              <w:rPr>
                <w:rFonts w:ascii="仿宋_GB2312" w:hAnsi="仿宋_GB2312" w:cs="仿宋_GB2312" w:eastAsia="仿宋_GB2312"/>
              </w:rPr>
              <w:t>应满足磋商文件格式要求</w:t>
            </w:r>
          </w:p>
        </w:tc>
        <w:tc>
          <w:tcPr>
            <w:tcW w:type="dxa" w:w="1661"/>
          </w:tcPr>
          <w:p>
            <w:pPr>
              <w:pStyle w:val="null3"/>
            </w:pPr>
            <w:r>
              <w:rPr>
                <w:rFonts w:ascii="仿宋_GB2312" w:hAnsi="仿宋_GB2312" w:cs="仿宋_GB2312" w:eastAsia="仿宋_GB2312"/>
              </w:rPr>
              <w:t>业绩一览表.docx 服务内容及服务邀请应答表 中小企业声明函 商务应答表 报价表 其他说明.docx 响应文件封面 法定代表人身份证明书.docx 供应商应提交的相关资格证明材料.docx 残疾人福利性单位声明函 陕西省政府采购拒绝贿赂承诺书.docx 标的清单 响应函 法定代表人授权委托书.docx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各供应商响应文件所报的报价金额必须是唯一报价，不得出现其他金额报价，否则按无效报价对待，其余指标不再评审</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管理目标</w:t>
            </w:r>
          </w:p>
        </w:tc>
        <w:tc>
          <w:tcPr>
            <w:tcW w:type="dxa" w:w="2492"/>
          </w:tcPr>
          <w:p>
            <w:pPr>
              <w:pStyle w:val="null3"/>
            </w:pPr>
            <w:r>
              <w:rPr>
                <w:rFonts w:ascii="仿宋_GB2312" w:hAnsi="仿宋_GB2312" w:cs="仿宋_GB2312" w:eastAsia="仿宋_GB2312"/>
              </w:rPr>
              <w:t>代建管理目标清晰明确、范围全面、内容完整。结合采购人实际情况，突出体现工程特点，能满足项目采购需求得10分；评审内容有缺陷不满足采购需求的扣0.1-5分。未提供方案不得分。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投资成本管理</w:t>
            </w:r>
          </w:p>
        </w:tc>
        <w:tc>
          <w:tcPr>
            <w:tcW w:type="dxa" w:w="2492"/>
          </w:tcPr>
          <w:p>
            <w:pPr>
              <w:pStyle w:val="null3"/>
            </w:pPr>
            <w:r>
              <w:rPr>
                <w:rFonts w:ascii="仿宋_GB2312" w:hAnsi="仿宋_GB2312" w:cs="仿宋_GB2312" w:eastAsia="仿宋_GB2312"/>
              </w:rPr>
              <w:t>投资与成本控制，针对各阶段具有切实承诺、可靠的成本控制措施，成本控制方法，能满足项目采购需求得 10分；评审内容有缺陷不满足采购需求的扣0.1-5分。未提供方案不得分。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进度管理措施</w:t>
            </w:r>
          </w:p>
        </w:tc>
        <w:tc>
          <w:tcPr>
            <w:tcW w:type="dxa" w:w="2492"/>
          </w:tcPr>
          <w:p>
            <w:pPr>
              <w:pStyle w:val="null3"/>
            </w:pPr>
            <w:r>
              <w:rPr>
                <w:rFonts w:ascii="仿宋_GB2312" w:hAnsi="仿宋_GB2312" w:cs="仿宋_GB2312" w:eastAsia="仿宋_GB2312"/>
              </w:rPr>
              <w:t>项目进度计划安排，针对项目的具体特点制定行之有效的工期管理、缩短工期措施，计划进度安排合理、工期管理目标明确，能满足项目采购需求得 10分；评审内容有缺陷不满足采购需求的扣0.1-5分。未提供方案不得分。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质量管理措施</w:t>
            </w:r>
          </w:p>
        </w:tc>
        <w:tc>
          <w:tcPr>
            <w:tcW w:type="dxa" w:w="2492"/>
          </w:tcPr>
          <w:p>
            <w:pPr>
              <w:pStyle w:val="null3"/>
            </w:pPr>
            <w:r>
              <w:rPr>
                <w:rFonts w:ascii="仿宋_GB2312" w:hAnsi="仿宋_GB2312" w:cs="仿宋_GB2312" w:eastAsia="仿宋_GB2312"/>
              </w:rPr>
              <w:t>项目质量管理严格按照强制性规范、具有保证质量的行之有效的措施，能满足项目采购需求得 10分；评审内容有缺陷不满足采购需求的扣0.1-5分。未提供方案不得分。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安全管理措施</w:t>
            </w:r>
          </w:p>
        </w:tc>
        <w:tc>
          <w:tcPr>
            <w:tcW w:type="dxa" w:w="2492"/>
          </w:tcPr>
          <w:p>
            <w:pPr>
              <w:pStyle w:val="null3"/>
            </w:pPr>
            <w:r>
              <w:rPr>
                <w:rFonts w:ascii="仿宋_GB2312" w:hAnsi="仿宋_GB2312" w:cs="仿宋_GB2312" w:eastAsia="仿宋_GB2312"/>
              </w:rPr>
              <w:t>确保安全管理、环保及职业健康管理，严格按照工程特点，制定相应措施，能满足项目采购需求得 10分；评审内容有缺陷不满足采购需求的扣0.1-5分。未提供方案不得分。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组织协调管理措施</w:t>
            </w:r>
          </w:p>
        </w:tc>
        <w:tc>
          <w:tcPr>
            <w:tcW w:type="dxa" w:w="2492"/>
          </w:tcPr>
          <w:p>
            <w:pPr>
              <w:pStyle w:val="null3"/>
            </w:pPr>
            <w:r>
              <w:rPr>
                <w:rFonts w:ascii="仿宋_GB2312" w:hAnsi="仿宋_GB2312" w:cs="仿宋_GB2312" w:eastAsia="仿宋_GB2312"/>
              </w:rPr>
              <w:t>信息管理与沟通协调，有全面的信息管理措施、具有有效的沟通管理机制保证项目沟通及信息传递顺畅，能满足项目采购需求得 10分；评审内容有缺陷不满足采购需求的扣0.1-5分。未提供方案不得分。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风险管理</w:t>
            </w:r>
          </w:p>
        </w:tc>
        <w:tc>
          <w:tcPr>
            <w:tcW w:type="dxa" w:w="2492"/>
          </w:tcPr>
          <w:p>
            <w:pPr>
              <w:pStyle w:val="null3"/>
            </w:pPr>
            <w:r>
              <w:rPr>
                <w:rFonts w:ascii="仿宋_GB2312" w:hAnsi="仿宋_GB2312" w:cs="仿宋_GB2312" w:eastAsia="仿宋_GB2312"/>
              </w:rPr>
              <w:t>有详细清晰的全过程风险管理计划及风险管理实施程序，能满足项目采购需求得 10分；评审内容有缺陷不满足采购需求的扣0.1-5分。未提供方案不得分。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保证承诺，包括但不限于服务质量承诺、人员到位、后期服务等方面，承诺内容完善，对所要求内容描述详尽。服务计划及承诺完整可行，保证措施有力，能满足项目采购需求得10分，评审内容有缺陷不满足采购需求的扣0.1-5分。未提供方案不得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项目验收</w:t>
            </w:r>
          </w:p>
        </w:tc>
        <w:tc>
          <w:tcPr>
            <w:tcW w:type="dxa" w:w="2492"/>
          </w:tcPr>
          <w:p>
            <w:pPr>
              <w:pStyle w:val="null3"/>
            </w:pPr>
            <w:r>
              <w:rPr>
                <w:rFonts w:ascii="仿宋_GB2312" w:hAnsi="仿宋_GB2312" w:cs="仿宋_GB2312" w:eastAsia="仿宋_GB2312"/>
              </w:rPr>
              <w:t>验收配合及移交方案，竣工验收计划全面且程序完善，移交方案完备，能满足项目采购需求得5分；评审内容有缺陷不满足采购需求的扣0.1-3分。未提供方案不得分。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供应商提供近五年（2020年8月1日至今）类似项目业绩，每个业绩2.5分，满分5分。以合同签订时间或中标（成交）通知书时间为准。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1.经资格及符合性审查合格的磋商响应文件，其磋商报价为有效磋商报价。 2.满足竞争性磋商文件实质性要求且最后报价最低的供应商的价格为磋商基准价，其价格分为满分10分。 3.磋商报价得分=（磋商基准价/磋商评审价）×10的公式计算得分。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详见附件：陕西省政府采购拒绝贿赂承诺书.docx</w:t>
      </w:r>
    </w:p>
    <w:p>
      <w:pPr>
        <w:pStyle w:val="null3"/>
        <w:ind w:firstLine="960"/>
      </w:pPr>
      <w:r>
        <w:rPr>
          <w:rFonts w:ascii="仿宋_GB2312" w:hAnsi="仿宋_GB2312" w:cs="仿宋_GB2312" w:eastAsia="仿宋_GB2312"/>
        </w:rPr>
        <w:t>详见附件：其他说明.docx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