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版本号：MSL-DY-2025-012620250828001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铜川市“十五五”财政规划和重点课题研究编制</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MSL-DY-2025-0126</w:t>
      </w:r>
      <w:r>
        <w:br/>
      </w:r>
      <w:r>
        <w:br/>
      </w:r>
      <w:r>
        <w:br/>
      </w:r>
    </w:p>
    <w:p>
      <w:pPr>
        <w:pStyle w:val="null3"/>
        <w:jc w:val="center"/>
        <w:outlineLvl w:val="5"/>
      </w:pPr>
      <w:r>
        <w:rPr>
          <w:rFonts w:ascii="仿宋_GB2312" w:hAnsi="仿宋_GB2312" w:cs="仿宋_GB2312" w:eastAsia="仿宋_GB2312"/>
          <w:sz w:val="15"/>
          <w:b/>
        </w:rPr>
        <w:t>铜川市财政局</w:t>
      </w:r>
    </w:p>
    <w:p>
      <w:pPr>
        <w:pStyle w:val="null3"/>
        <w:jc w:val="center"/>
        <w:outlineLvl w:val="5"/>
      </w:pPr>
      <w:r>
        <w:rPr>
          <w:rFonts w:ascii="仿宋_GB2312" w:hAnsi="仿宋_GB2312" w:cs="仿宋_GB2312" w:eastAsia="仿宋_GB2312"/>
          <w:sz w:val="15"/>
          <w:b/>
        </w:rPr>
        <w:t>陕西木升林项目管理有限公司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陕西木升林项目管理有限公司</w:t>
      </w:r>
      <w:r>
        <w:rPr>
          <w:rFonts w:ascii="仿宋_GB2312" w:hAnsi="仿宋_GB2312" w:cs="仿宋_GB2312" w:eastAsia="仿宋_GB2312"/>
        </w:rPr>
        <w:t>（以下简称“代理机构”）受</w:t>
      </w:r>
      <w:r>
        <w:rPr>
          <w:rFonts w:ascii="仿宋_GB2312" w:hAnsi="仿宋_GB2312" w:cs="仿宋_GB2312" w:eastAsia="仿宋_GB2312"/>
        </w:rPr>
        <w:t>铜川市财政局</w:t>
      </w:r>
      <w:r>
        <w:rPr>
          <w:rFonts w:ascii="仿宋_GB2312" w:hAnsi="仿宋_GB2312" w:cs="仿宋_GB2312" w:eastAsia="仿宋_GB2312"/>
        </w:rPr>
        <w:t>委托，拟对</w:t>
      </w:r>
      <w:r>
        <w:rPr>
          <w:rFonts w:ascii="仿宋_GB2312" w:hAnsi="仿宋_GB2312" w:cs="仿宋_GB2312" w:eastAsia="仿宋_GB2312"/>
        </w:rPr>
        <w:t>铜川市“十五五”财政规划和重点课题研究编制</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MSL-DY-2025-0126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铜川市“十五五”财政规划和重点课题研究编制</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十五五”时期，是基本实现社会主义现代化承上启下的、加快转入高质量发展轨道的关键期，也是铜川加快高质量全面转型的攻坚期。为贯彻落实中央、省关于编制“十五五”规划纲要的有关要求，依据陕财办综〔2025〕11号文和陕政办发〔2025〕9号文及铜政函〔2025〕23号文，科学编制未来五年铜川市的发展，拟开展铜川市“十五五”财政规划和重点课题研究编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协商的，须出具法定代表人身份证明。法定代表人委托代理人参加协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铜川新区金谟东路1号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09193281607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陕西木升林项目管理有限公司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陕西省西安市雁塔区西安市曲江新区雁翔路3269号旺座曲江L座29层2901室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李嘉森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029-81208568/13259949098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采购包1：1,801,600.00元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采购包1：1,801,600.00元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招标代理服务收费管理暂行办法》（计价格[2002]1980号）和《关于招标代理服务收费有关问题的通知》（发改办价格[2003]857号）的有关规定执行。成交供应商在领取成交通知书前，须向采购代理机构一次性支付招标代理服务费。 户名：陕西木升林项目管理有限公司 开户行：中国农业银行股份有限公司西安曲江池北路支行 账号：2614 0701 0400 15145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铜川市财政局</w:t>
      </w:r>
      <w:r>
        <w:rPr>
          <w:rFonts w:ascii="仿宋_GB2312" w:hAnsi="仿宋_GB2312" w:cs="仿宋_GB2312" w:eastAsia="仿宋_GB2312"/>
        </w:rPr>
        <w:t>和</w:t>
      </w:r>
      <w:r>
        <w:rPr>
          <w:rFonts w:ascii="仿宋_GB2312" w:hAnsi="仿宋_GB2312" w:cs="仿宋_GB2312" w:eastAsia="仿宋_GB2312"/>
        </w:rPr>
        <w:t>陕西木升林项目管理有限公司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陕西木升林项目管理有限公司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陕西木升林项目管理有限公司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经甲方验收合格后，确定项目完成</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陕西木升林项目管理有限公司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陕西木升林项目管理有限公司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陕西木升林项目管理有限公司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十五五”时期，是基本实现社会主义现代化承上启下的、加快转入高质量发展轨道的关键期，也是铜川加快高质量全面转型的攻坚期。为贯彻落实中央、省关于编制“十五五”规划纲要的有关要求，依据陕财办综〔2025〕11号文和陕政办发〔2025〕9号文及铜政函〔2025〕23号文，科学编制未来五年铜川市的发展，拟开展铜川市“十五五”财政规划和重点课题研究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1,801,600.00</w:t>
      </w:r>
    </w:p>
    <w:p>
      <w:pPr>
        <w:pStyle w:val="null3"/>
      </w:pPr>
      <w:r>
        <w:rPr>
          <w:rFonts w:ascii="仿宋_GB2312" w:hAnsi="仿宋_GB2312" w:cs="仿宋_GB2312" w:eastAsia="仿宋_GB2312"/>
        </w:rPr>
        <w:t>采购包最高限价（元）: 1,801,600.00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铜川市“十五五”财政规划和重点课题研究编制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1,801,600.00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标的名称：铜川市“十五五”财政规划和重点课题研究编制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（一）坚持立足市情和全局视野相统筹</w:t>
            </w:r>
          </w:p>
          <w:p>
            <w:pPr>
              <w:pStyle w:val="null3"/>
            </w:pPr>
            <w:r>
              <w:rPr>
                <w:rFonts w:ascii="仿宋_GB2312" w:hAnsi="仿宋_GB2312" w:cs="仿宋_GB2312" w:eastAsia="仿宋_GB2312"/>
              </w:rPr>
              <w:t>1、坚持立足市情和全局视野相统筹。既要拓展全局视野、提升战略思维，深刻研判世界百年未有之大变局带来的机遇和挑战，深入分析国内外、省内外经济发展态势，下好先手棋，打好主动仗；又要准确把握市情实际，明确在大局中的定位，瞄准先进地区确定发展坐标系、建立目标参照系，勇于提出经济社会发展的新目标、新思路和新举措，做到谋一域发展、为全局添彩。</w:t>
            </w:r>
          </w:p>
          <w:p>
            <w:pPr>
              <w:pStyle w:val="null3"/>
            </w:pPr>
            <w:r>
              <w:rPr>
                <w:rFonts w:ascii="仿宋_GB2312" w:hAnsi="仿宋_GB2312" w:cs="仿宋_GB2312" w:eastAsia="仿宋_GB2312"/>
              </w:rPr>
              <w:t>2、着眼全局，服务大局。坚持全局视野和立足实际相统筹，既把握大势、统筹全局，深入分析国际国内经济社会发展动态与趋势，理清制约瓶颈及挑战机遇；又立足市情、找准定位，科学提出未来五年财政改革发展的新目标、新思路、新举措，充分发挥财政职能作用。</w:t>
            </w:r>
          </w:p>
          <w:p>
            <w:pPr>
              <w:pStyle w:val="null3"/>
            </w:pPr>
            <w:r>
              <w:rPr>
                <w:rFonts w:ascii="仿宋_GB2312" w:hAnsi="仿宋_GB2312" w:cs="仿宋_GB2312" w:eastAsia="仿宋_GB2312"/>
              </w:rPr>
              <w:t>（二）坚持目标导向与问题导向相结合</w:t>
            </w:r>
          </w:p>
          <w:p>
            <w:pPr>
              <w:pStyle w:val="null3"/>
            </w:pPr>
            <w:r>
              <w:rPr>
                <w:rFonts w:ascii="仿宋_GB2312" w:hAnsi="仿宋_GB2312" w:cs="仿宋_GB2312" w:eastAsia="仿宋_GB2312"/>
              </w:rPr>
              <w:t>1、坚持目标导向与问题导向相结合。既要锚定到 2035 年与全国同步基本实现社会主义现代化的目标要求，细化 “十五五” 时期必须完成的阶段性目标；又要聚焦高质量全面转型发展和现代化建设的难点、堵点、痛点，研究提出更有针对性的政策举措，努力在多重目标中做到科学平衡、在多重约束中实现有效突破。</w:t>
            </w:r>
          </w:p>
          <w:p>
            <w:pPr>
              <w:pStyle w:val="null3"/>
            </w:pPr>
            <w:r>
              <w:rPr>
                <w:rFonts w:ascii="仿宋_GB2312" w:hAnsi="仿宋_GB2312" w:cs="仿宋_GB2312" w:eastAsia="仿宋_GB2312"/>
              </w:rPr>
              <w:t>2、精准选题，扎实开展调查研究。要认真总结 “十四五” 时期本地区或本领域发展经验，聚焦制约发展的难点痛点，精心筛选重点课题研究方向，协同相关单位深入开展调查研究，科学提出本地区或本领域未来五年发展基本思路、主要目标和重点任务，夯实财政 “十五五” 发展基础。</w:t>
            </w:r>
          </w:p>
          <w:p>
            <w:pPr>
              <w:pStyle w:val="null3"/>
            </w:pPr>
            <w:r>
              <w:rPr>
                <w:rFonts w:ascii="仿宋_GB2312" w:hAnsi="仿宋_GB2312" w:cs="仿宋_GB2312" w:eastAsia="仿宋_GB2312"/>
              </w:rPr>
              <w:t>（三）坚持全面规划与突出重点相统一</w:t>
            </w:r>
          </w:p>
          <w:p>
            <w:pPr>
              <w:pStyle w:val="null3"/>
            </w:pPr>
            <w:r>
              <w:rPr>
                <w:rFonts w:ascii="仿宋_GB2312" w:hAnsi="仿宋_GB2312" w:cs="仿宋_GB2312" w:eastAsia="仿宋_GB2312"/>
              </w:rPr>
              <w:t>1、坚持全面规划和突出重点相统一。既要按照统筹推进 “五位一体” 总体布局、协调推进 “四个全面” 战略布局的要求，聚焦中国式现代化建设铜川新篇章安排部署，谋划提出事关全局的大思路、大战略，体现规划的前瞻性、引领性；又要聚焦 “牵一发而动全身” 的关键领域环节，瞄准需要办成的大事、急事、难事，精准提出可操作的目标和举措，提高规划实施的实效性。</w:t>
            </w:r>
          </w:p>
          <w:p>
            <w:pPr>
              <w:pStyle w:val="null3"/>
            </w:pPr>
            <w:r>
              <w:rPr>
                <w:rFonts w:ascii="仿宋_GB2312" w:hAnsi="仿宋_GB2312" w:cs="仿宋_GB2312" w:eastAsia="仿宋_GB2312"/>
              </w:rPr>
              <w:t>2、统筹兼顾，突出重点。坚持全面规划和突出重点相统一，既要聚焦新时期财政改革发展重大决策部署，统筹全市经济社会高质量发展重点任务，加强对财政工作的前瞻性思考、战略性布局、系统性推进；又要聚焦科技、教育、就业等关键领域，围绕产业结构调整、税源培育挖掘、防范化解风险等重点内容，提出可行思路和切实举措。</w:t>
            </w:r>
          </w:p>
          <w:p>
            <w:pPr>
              <w:pStyle w:val="null3"/>
            </w:pPr>
            <w:r>
              <w:rPr>
                <w:rFonts w:ascii="仿宋_GB2312" w:hAnsi="仿宋_GB2312" w:cs="仿宋_GB2312" w:eastAsia="仿宋_GB2312"/>
              </w:rPr>
              <w:t>（四）坚持政府治理与市场调节相协调</w:t>
            </w:r>
          </w:p>
          <w:p>
            <w:pPr>
              <w:pStyle w:val="null3"/>
            </w:pPr>
            <w:r>
              <w:rPr>
                <w:rFonts w:ascii="仿宋_GB2312" w:hAnsi="仿宋_GB2312" w:cs="仿宋_GB2312" w:eastAsia="仿宋_GB2312"/>
              </w:rPr>
              <w:t>1、坚持政府治理与市场调节相协调。正确处理政府和市场关系，充分发挥市场在资源配置中的决定性作用，更好发挥政府作用，五年规划编制主要履行政府经济调节、市场监管、社会管理、公共服务、生态环境保护等职能，在市场能够充分竞争的竞争性领域尽量不编制规划。</w:t>
            </w:r>
          </w:p>
          <w:p>
            <w:pPr>
              <w:pStyle w:val="null3"/>
            </w:pPr>
            <w:r>
              <w:rPr>
                <w:rFonts w:ascii="仿宋_GB2312" w:hAnsi="仿宋_GB2312" w:cs="仿宋_GB2312" w:eastAsia="仿宋_GB2312"/>
              </w:rPr>
              <w:t>2、创新方法，全面提升规划质量。要坚持开门问策，广泛征求意见建议，提高规划编制社会参与度。健全专家决策支持体系，充分发挥科研院所、高等院校等智库作用，为规划关键点和难点问题提供支持。探索运用现代信息技术手段，提高规划编制的前瞻性、系统性和科学性。</w:t>
            </w:r>
          </w:p>
          <w:p>
            <w:pPr>
              <w:pStyle w:val="null3"/>
            </w:pPr>
            <w:r>
              <w:rPr>
                <w:rFonts w:ascii="仿宋_GB2312" w:hAnsi="仿宋_GB2312" w:cs="仿宋_GB2312" w:eastAsia="仿宋_GB2312"/>
              </w:rPr>
              <w:t>（五）坚持纵向衔接与横向联动（协同）相促进</w:t>
            </w:r>
          </w:p>
          <w:p>
            <w:pPr>
              <w:pStyle w:val="null3"/>
            </w:pPr>
            <w:r>
              <w:rPr>
                <w:rFonts w:ascii="仿宋_GB2312" w:hAnsi="仿宋_GB2312" w:cs="仿宋_GB2312" w:eastAsia="仿宋_GB2312"/>
              </w:rPr>
              <w:t>1、坚持纵向衔接与横向联动相促进。健全经济社会发展规划制度体系，强化规划衔接落实机制。纵向上，做好国家、省级、市县规划衔接，确保发展主题保持一致，重点方向协调统一；横向上，强化各类规划与发展规划的衔接，发挥发展规划战略导向作用，强化国土空间规划基础作用，增强专项规划和区域规划实施支撑作用，完善统一规划体系，形成规划合力。</w:t>
            </w:r>
          </w:p>
          <w:p>
            <w:pPr>
              <w:pStyle w:val="null3"/>
            </w:pPr>
            <w:r>
              <w:rPr>
                <w:rFonts w:ascii="仿宋_GB2312" w:hAnsi="仿宋_GB2312" w:cs="仿宋_GB2312" w:eastAsia="仿宋_GB2312"/>
              </w:rPr>
              <w:t>2、纵向衔接，横向协同。既要在纵向上做好与中省财政 “十五五” 规划的衔接，指导各区县做好财政编制规划，确保主题主线保持一致，重点方向协调统一，上下一体推进；又要在横向上加强协同联动，做好财政规划与全市《纲要》、部门专项规划的有效衔接，完善统一规划体系，形成规划合力。</w:t>
            </w:r>
          </w:p>
          <w:p>
            <w:pPr>
              <w:pStyle w:val="null3"/>
            </w:pPr>
            <w:r>
              <w:rPr>
                <w:rFonts w:ascii="仿宋_GB2312" w:hAnsi="仿宋_GB2312" w:cs="仿宋_GB2312" w:eastAsia="仿宋_GB2312"/>
              </w:rPr>
              <w:t>3、夯实责任，严格规划编制程序。要认真研究、细化责任，严格按照节点要求和工作流程，全力配合总规划编制起草，规范本地区或本领域规划编制程序，认真开展前期研究、文本起草、征求意见、衔接协调等各环节工作，确保全省 “十五五” 规划编制有序推进。</w:t>
            </w:r>
          </w:p>
          <w:p>
            <w:pPr>
              <w:pStyle w:val="null3"/>
            </w:pPr>
            <w:r>
              <w:rPr>
                <w:rFonts w:ascii="仿宋_GB2312" w:hAnsi="仿宋_GB2312" w:cs="仿宋_GB2312" w:eastAsia="仿宋_GB2312"/>
              </w:rPr>
              <w:t>（六）坚持实事求是与积极稳妥相统筹</w:t>
            </w:r>
          </w:p>
          <w:p>
            <w:pPr>
              <w:pStyle w:val="null3"/>
              <w:jc w:val="both"/>
            </w:pPr>
            <w:r>
              <w:rPr>
                <w:rFonts w:ascii="仿宋_GB2312" w:hAnsi="仿宋_GB2312" w:cs="仿宋_GB2312" w:eastAsia="仿宋_GB2312"/>
              </w:rPr>
              <w:t>1、实事求是，积极稳妥。既要客观总结评价 “十四五” 发展经验成果，综合判断 “十五五” 时期经济社会发展形势，实事求是提出 “十五五” 规划发展目标和重点措施任务；又要坚持尽力而为、量力而行，充分考虑要素支撑条件、资源环境约束和重大风险防范等，科学测算、合理确定规划目标指标，做好平衡协调，不断提升财政运行韧性。</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按程序报批并正式印发后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按照供应商完成服务内容情况进行验收。完成专家论证征求意见等工作，与中省相关专项规划、全市国土空间规划，以及全市《纲要》进行衔接，按程序报批。清单内专项规划应于2026年9月底前全部印发，或于省级相关专项规划出台后3个月内报批印发实施。 2、验收依据：国家有关的验收标准及规范、铜政函〔2025〕23号文。</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否则将承担一切法律责任，纸质版响应文件必须装订成册，文件封面加盖公章。 2、服务标准：服务流程无重大失误，各环节执行顺畅，未出现影响服务安全、质量等问题；成果达标；服务质量符合行业通用标准及采购方要求，服务总结完整规范。 3、供应商所报的价格应考虑到可能发生的所有与完成本项目相关服务及履行合同义务有关的一切费用，任何有选择的报价将不予接受，按无效协商处理。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3.提供具有履行合同所必需的设备和专业技术能力的承诺；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5.提供响应文件提交截止时间前一年内已缴存的至少一个月的社会保障资金缴存单据或社保机构开具的社会保险参保缴费情况证明，依法不需要缴纳社会保障资金的供应商应提供相应证明文件；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法定代表人委托代理人参加协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供应商认为还需要提供的其他资料 费用明细表 服务方案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响应文件按采购文件的要求签字、盖章</w:t>
            </w:r>
          </w:p>
        </w:tc>
        <w:tc>
          <w:tcPr>
            <w:tcW w:type="dxa" w:w="1661"/>
          </w:tcPr>
          <w:p>
            <w:pPr>
              <w:pStyle w:val="null3"/>
            </w:pPr>
            <w:r>
              <w:rPr>
                <w:rFonts w:ascii="仿宋_GB2312" w:hAnsi="仿宋_GB2312" w:cs="仿宋_GB2312" w:eastAsia="仿宋_GB2312"/>
              </w:rPr>
              <w:t>响应文件封面 供应商认为还需要提供的其他资料 资格证明文件 费用明细表 服务方案 标的清单 报价表 拒绝政府采购领域商业贿赂承诺书 响应函 合同条款响应 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1.报价唯一； 2.报价货币符合采购文件要求； 3.未超出采购预算或采购文件规定的最高限价</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文件提交截止之日起90日历日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合同条款响应 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无采购文件中规定的无效情形</w:t>
            </w:r>
          </w:p>
        </w:tc>
        <w:tc>
          <w:tcPr>
            <w:tcW w:type="dxa" w:w="1661"/>
          </w:tcPr>
          <w:p>
            <w:pPr>
              <w:pStyle w:val="null3"/>
            </w:pPr>
            <w:r>
              <w:rPr>
                <w:rFonts w:ascii="仿宋_GB2312" w:hAnsi="仿宋_GB2312" w:cs="仿宋_GB2312" w:eastAsia="仿宋_GB2312"/>
              </w:rPr>
              <w:t>供应商认为还需要提供的其他资料 合同条款响应 响应偏离表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详见附件：费用明细表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详见附件：响应偏离表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详见附件：供应商认为还需要提供的其他资料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