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pPr>
        <w:pStyle w:val="11"/>
        <w:rPr>
          <w:rFonts w:hint="eastAsia" w:ascii="宋体" w:hAnsi="宋体" w:eastAsia="宋体" w:cs="宋体"/>
          <w:color w:val="auto"/>
          <w:sz w:val="24"/>
          <w:szCs w:val="24"/>
          <w:highlight w:val="none"/>
        </w:rPr>
      </w:pPr>
    </w:p>
    <w:p>
      <w:pPr>
        <w:rPr>
          <w:rFonts w:hint="eastAsia" w:ascii="仿宋" w:hAnsi="仿宋" w:eastAsia="仿宋" w:cs="仿宋"/>
          <w:color w:val="auto"/>
          <w:sz w:val="32"/>
          <w:szCs w:val="32"/>
          <w:highlight w:val="none"/>
        </w:rPr>
      </w:pPr>
      <w:r>
        <w:rPr>
          <w:rFonts w:hint="eastAsia" w:ascii="宋体" w:hAnsi="宋体" w:eastAsia="宋体" w:cs="宋体"/>
          <w:b/>
          <w:color w:val="auto"/>
          <w:sz w:val="24"/>
          <w:szCs w:val="24"/>
          <w:highlight w:val="none"/>
        </w:rPr>
        <w:br w:type="page"/>
      </w:r>
      <w:r>
        <w:rPr>
          <w:rFonts w:hint="eastAsia" w:ascii="仿宋" w:hAnsi="仿宋" w:eastAsia="仿宋" w:cs="仿宋"/>
          <w:b/>
          <w:bCs/>
          <w:color w:val="auto"/>
          <w:sz w:val="32"/>
          <w:szCs w:val="32"/>
          <w:highlight w:val="none"/>
          <w:lang w:val="en-US" w:eastAsia="zh-CN"/>
        </w:rPr>
        <w:t>政府采购项目</w:t>
      </w:r>
    </w:p>
    <w:p>
      <w:pPr>
        <w:rPr>
          <w:rFonts w:hint="eastAsia" w:ascii="仿宋" w:hAnsi="仿宋" w:eastAsia="仿宋" w:cs="仿宋"/>
          <w:color w:val="auto"/>
          <w:sz w:val="28"/>
          <w:szCs w:val="28"/>
          <w:highlight w:val="none"/>
        </w:rPr>
      </w:pPr>
    </w:p>
    <w:p>
      <w:pPr>
        <w:pStyle w:val="2"/>
        <w:rPr>
          <w:rFonts w:hint="eastAsia" w:ascii="仿宋" w:hAnsi="仿宋" w:eastAsia="仿宋" w:cs="仿宋"/>
          <w:color w:val="auto"/>
          <w:sz w:val="28"/>
          <w:szCs w:val="28"/>
          <w:highlight w:val="none"/>
        </w:rPr>
      </w:pPr>
    </w:p>
    <w:p>
      <w:pPr>
        <w:pStyle w:val="4"/>
        <w:rPr>
          <w:rFonts w:hint="eastAsia" w:ascii="仿宋" w:hAnsi="仿宋" w:eastAsia="仿宋" w:cs="仿宋"/>
          <w:color w:val="auto"/>
          <w:highlight w:val="none"/>
        </w:rPr>
      </w:pPr>
    </w:p>
    <w:p>
      <w:pPr>
        <w:jc w:val="center"/>
        <w:rPr>
          <w:rFonts w:hint="eastAsia" w:ascii="仿宋" w:hAnsi="仿宋" w:eastAsia="仿宋" w:cs="仿宋"/>
          <w:b/>
          <w:color w:val="auto"/>
          <w:sz w:val="28"/>
          <w:szCs w:val="28"/>
          <w:highlight w:val="none"/>
        </w:rPr>
      </w:pPr>
    </w:p>
    <w:p>
      <w:pPr>
        <w:jc w:val="center"/>
        <w:rPr>
          <w:rFonts w:hint="eastAsia" w:ascii="仿宋" w:hAnsi="仿宋" w:eastAsia="仿宋" w:cs="仿宋"/>
          <w:b/>
          <w:bCs/>
          <w:color w:val="auto"/>
          <w:sz w:val="60"/>
          <w:szCs w:val="60"/>
          <w:highlight w:val="none"/>
        </w:rPr>
      </w:pPr>
      <w:r>
        <w:rPr>
          <w:rFonts w:hint="eastAsia" w:ascii="仿宋" w:hAnsi="仿宋" w:eastAsia="仿宋" w:cs="仿宋"/>
          <w:b/>
          <w:bCs/>
          <w:color w:val="auto"/>
          <w:sz w:val="60"/>
          <w:szCs w:val="60"/>
          <w:highlight w:val="none"/>
        </w:rPr>
        <w:t>铜川市“十五五”财政规划和重点课题研究编制</w:t>
      </w:r>
    </w:p>
    <w:p>
      <w:pPr>
        <w:jc w:val="center"/>
        <w:rPr>
          <w:rFonts w:hint="eastAsia" w:ascii="仿宋" w:hAnsi="仿宋" w:eastAsia="仿宋" w:cs="仿宋"/>
          <w:color w:val="auto"/>
          <w:sz w:val="60"/>
          <w:szCs w:val="60"/>
          <w:highlight w:val="none"/>
        </w:rPr>
      </w:pPr>
      <w:r>
        <w:rPr>
          <w:rFonts w:hint="eastAsia" w:ascii="仿宋" w:hAnsi="仿宋" w:eastAsia="仿宋" w:cs="仿宋"/>
          <w:b/>
          <w:bCs/>
          <w:color w:val="auto"/>
          <w:sz w:val="60"/>
          <w:szCs w:val="60"/>
          <w:highlight w:val="none"/>
        </w:rPr>
        <w:t>合同</w:t>
      </w:r>
    </w:p>
    <w:p>
      <w:pPr>
        <w:pStyle w:val="3"/>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rPr>
      </w:pPr>
    </w:p>
    <w:p>
      <w:pPr>
        <w:rPr>
          <w:rFonts w:hint="eastAsia" w:ascii="仿宋" w:hAnsi="仿宋" w:eastAsia="仿宋" w:cs="仿宋"/>
          <w:color w:val="auto"/>
          <w:sz w:val="28"/>
          <w:szCs w:val="28"/>
          <w:highlight w:val="none"/>
        </w:rPr>
      </w:pPr>
    </w:p>
    <w:p>
      <w:pPr>
        <w:pStyle w:val="3"/>
        <w:jc w:val="both"/>
        <w:rPr>
          <w:rFonts w:hint="eastAsia" w:ascii="仿宋" w:hAnsi="仿宋" w:eastAsia="仿宋" w:cs="仿宋"/>
          <w:color w:val="auto"/>
          <w:highlight w:val="none"/>
        </w:rPr>
      </w:pPr>
    </w:p>
    <w:p>
      <w:pPr>
        <w:rPr>
          <w:rFonts w:hint="eastAsia" w:ascii="仿宋" w:hAnsi="仿宋" w:eastAsia="仿宋" w:cs="仿宋"/>
          <w:color w:val="auto"/>
          <w:sz w:val="28"/>
          <w:szCs w:val="28"/>
          <w:highlight w:val="none"/>
        </w:rPr>
      </w:pPr>
    </w:p>
    <w:p>
      <w:pPr>
        <w:pStyle w:val="2"/>
        <w:rPr>
          <w:rFonts w:hint="eastAsia" w:ascii="仿宋" w:hAnsi="仿宋" w:eastAsia="仿宋" w:cs="仿宋"/>
          <w:color w:val="auto"/>
          <w:highlight w:val="none"/>
        </w:rPr>
      </w:pPr>
    </w:p>
    <w:p>
      <w:pPr>
        <w:keepNext w:val="0"/>
        <w:keepLines w:val="0"/>
        <w:pageBreakBefore w:val="0"/>
        <w:widowControl w:val="0"/>
        <w:kinsoku/>
        <w:wordWrap/>
        <w:overflowPunct/>
        <w:topLinePunct w:val="0"/>
        <w:autoSpaceDE/>
        <w:autoSpaceDN/>
        <w:bidi w:val="0"/>
        <w:adjustRightInd/>
        <w:snapToGrid/>
        <w:spacing w:line="900" w:lineRule="exact"/>
        <w:ind w:left="0" w:leftChars="0" w:right="0" w:rightChars="0" w:firstLine="0" w:firstLineChars="0"/>
        <w:jc w:val="both"/>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 委   托   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铜川市财政局   </w:t>
      </w:r>
      <w:r>
        <w:rPr>
          <w:rFonts w:hint="eastAsia" w:ascii="仿宋" w:hAnsi="仿宋" w:eastAsia="仿宋" w:cs="仿宋"/>
          <w:b/>
          <w:bCs/>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0" w:leftChars="0" w:right="0" w:rightChars="0" w:firstLine="0" w:firstLineChars="0"/>
        <w:jc w:val="both"/>
        <w:textAlignment w:val="auto"/>
        <w:outlineLvl w:val="9"/>
        <w:rPr>
          <w:rFonts w:hint="eastAsia" w:ascii="仿宋" w:hAnsi="仿宋" w:eastAsia="仿宋" w:cs="仿宋"/>
          <w:bCs/>
          <w:color w:val="auto"/>
          <w:sz w:val="28"/>
          <w:szCs w:val="28"/>
          <w:highlight w:val="none"/>
          <w:u w:val="single"/>
        </w:rPr>
      </w:pPr>
      <w:r>
        <w:rPr>
          <w:rFonts w:hint="eastAsia" w:ascii="仿宋" w:hAnsi="仿宋" w:eastAsia="仿宋" w:cs="仿宋"/>
          <w:b/>
          <w:bCs/>
          <w:color w:val="auto"/>
          <w:sz w:val="28"/>
          <w:szCs w:val="28"/>
          <w:highlight w:val="none"/>
        </w:rPr>
        <w:t xml:space="preserve"> 受   托   人：</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0" w:leftChars="0" w:right="0" w:rightChars="0" w:firstLine="0" w:firstLineChars="0"/>
        <w:jc w:val="both"/>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Cs/>
          <w:color w:val="auto"/>
          <w:sz w:val="28"/>
          <w:szCs w:val="28"/>
          <w:highlight w:val="none"/>
          <w:u w:val="none"/>
          <w:lang w:val="en-US" w:eastAsia="zh-CN"/>
        </w:rPr>
        <w:t xml:space="preserve"> </w:t>
      </w:r>
      <w:r>
        <w:rPr>
          <w:rFonts w:hint="eastAsia" w:ascii="仿宋" w:hAnsi="仿宋" w:eastAsia="仿宋" w:cs="仿宋"/>
          <w:b/>
          <w:bCs w:val="0"/>
          <w:color w:val="auto"/>
          <w:sz w:val="28"/>
          <w:szCs w:val="28"/>
          <w:highlight w:val="none"/>
          <w:u w:val="none"/>
          <w:lang w:eastAsia="zh-CN"/>
        </w:rPr>
        <w:t>日</w:t>
      </w:r>
      <w:r>
        <w:rPr>
          <w:rFonts w:hint="eastAsia" w:ascii="仿宋" w:hAnsi="仿宋" w:eastAsia="仿宋" w:cs="仿宋"/>
          <w:b/>
          <w:bCs w:val="0"/>
          <w:color w:val="auto"/>
          <w:sz w:val="28"/>
          <w:szCs w:val="28"/>
          <w:highlight w:val="none"/>
          <w:u w:val="none"/>
          <w:lang w:val="en-US" w:eastAsia="zh-CN"/>
        </w:rPr>
        <w:t xml:space="preserve">        </w:t>
      </w:r>
      <w:r>
        <w:rPr>
          <w:rFonts w:hint="eastAsia" w:ascii="仿宋" w:hAnsi="仿宋" w:eastAsia="仿宋" w:cs="仿宋"/>
          <w:b/>
          <w:bCs w:val="0"/>
          <w:color w:val="auto"/>
          <w:sz w:val="28"/>
          <w:szCs w:val="28"/>
          <w:highlight w:val="none"/>
          <w:u w:val="none"/>
          <w:lang w:eastAsia="zh-CN"/>
        </w:rPr>
        <w:t>期：</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single"/>
        </w:rPr>
        <w:t xml:space="preserve">      </w:t>
      </w:r>
    </w:p>
    <w:p>
      <w:pPr>
        <w:rPr>
          <w:rFonts w:hint="eastAsia" w:ascii="宋体" w:hAnsi="宋体" w:eastAsia="宋体" w:cs="宋体"/>
          <w:b/>
          <w:color w:val="auto"/>
          <w:sz w:val="24"/>
          <w:szCs w:val="24"/>
          <w:highlight w:val="none"/>
        </w:rPr>
      </w:pPr>
    </w:p>
    <w:p>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甲方（委托方）：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铜川市财政局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乙方（受托方）</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依据《中华人民共和国民法典》等法律法规规定，甲乙双方本着自愿平等、公平和诚实守信的原则，就甲方委托乙方完成</w:t>
      </w:r>
      <w:r>
        <w:rPr>
          <w:rFonts w:hint="eastAsia" w:ascii="宋体" w:hAnsi="宋体" w:eastAsia="宋体" w:cs="宋体"/>
          <w:color w:val="auto"/>
          <w:sz w:val="24"/>
          <w:szCs w:val="24"/>
          <w:highlight w:val="none"/>
          <w:u w:val="single"/>
        </w:rPr>
        <w:t>《铜川市“十五五”财政规划和重点课题研究编制》</w:t>
      </w:r>
      <w:r>
        <w:rPr>
          <w:rFonts w:hint="eastAsia" w:ascii="宋体" w:hAnsi="宋体" w:eastAsia="宋体" w:cs="宋体"/>
          <w:color w:val="auto"/>
          <w:sz w:val="24"/>
          <w:szCs w:val="24"/>
          <w:highlight w:val="none"/>
        </w:rPr>
        <w:t>服务事项协商一致签订此合同，以资共同遵守。</w:t>
      </w:r>
    </w:p>
    <w:p>
      <w:pPr>
        <w:spacing w:before="156" w:beforeLines="50" w:after="156" w:afterLines="50" w:line="600" w:lineRule="exact"/>
        <w:outlineLvl w:val="0"/>
        <w:rPr>
          <w:rFonts w:hint="eastAsia" w:ascii="宋体" w:hAnsi="宋体" w:eastAsia="宋体" w:cs="宋体"/>
          <w:b/>
          <w:color w:val="auto"/>
          <w:sz w:val="24"/>
          <w:szCs w:val="24"/>
          <w:highlight w:val="none"/>
        </w:rPr>
      </w:pPr>
      <w:bookmarkStart w:id="0" w:name="_Toc22357"/>
      <w:r>
        <w:rPr>
          <w:rFonts w:hint="eastAsia" w:ascii="宋体" w:hAnsi="宋体" w:eastAsia="宋体" w:cs="宋体"/>
          <w:b/>
          <w:color w:val="auto"/>
          <w:sz w:val="24"/>
          <w:szCs w:val="24"/>
          <w:highlight w:val="none"/>
        </w:rPr>
        <w:t>一、项目名称、项目内容、最终成果及时间安排</w:t>
      </w:r>
      <w:bookmarkEnd w:id="0"/>
    </w:p>
    <w:p>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（一）项目名称</w:t>
      </w:r>
    </w:p>
    <w:p>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铜川市“十五五”财政规划和重点课题研究编制</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（二）项目内容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五五”时期，是基本实现社会主义现代化承上启下的、加快转入高质量发展轨道的关键期，也是铜川加快高质量全面转型的攻坚期。为贯彻落实中央、省关于编制“十五五”规划纲要的有关要求，依据陕财办综〔2025〕11号文和陕政办发〔2025〕9号文及铜政函〔2025〕23号文，科学编制未来五年铜川市的发展，拟开展铜川市“十五五”财政规划和重点课题研究编制。</w:t>
      </w:r>
    </w:p>
    <w:p>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（三）项目成果及提交方式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1.项目成果：</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铜川市</w:t>
      </w:r>
      <w:r>
        <w:rPr>
          <w:rFonts w:hint="eastAsia" w:ascii="宋体" w:hAnsi="宋体" w:eastAsia="宋体" w:cs="宋体"/>
          <w:color w:val="auto"/>
          <w:sz w:val="24"/>
          <w:szCs w:val="24"/>
          <w:highlight w:val="none"/>
          <w:u w:val="single"/>
        </w:rPr>
        <w:t>“十五五”</w:t>
      </w:r>
      <w:r>
        <w:rPr>
          <w:rFonts w:hint="eastAsia" w:ascii="宋体" w:hAnsi="宋体" w:eastAsia="宋体" w:cs="宋体"/>
          <w:color w:val="auto"/>
          <w:sz w:val="24"/>
          <w:szCs w:val="24"/>
          <w:highlight w:val="none"/>
          <w:u w:val="single"/>
          <w:lang w:val="en-US" w:eastAsia="zh-CN"/>
        </w:rPr>
        <w:t>财政规划</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夯实铜川市财源建设研究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优化铜川市财政支出结构研究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强化铜川市债务管理策略研究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铜川市财会监督体系的完善与效能提升研究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铜川市财政预算科学管理的实施难点与突破路径研究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电子文稿一份</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印刷文本    套</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2.提交方式：</w:t>
      </w:r>
      <w:bookmarkStart w:id="1" w:name="_Hlt44230009"/>
      <w:bookmarkStart w:id="2" w:name="_Hlt44230008"/>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"mailto:形成《白水县黄河流域生态保护和高质量发展规划》成果（含电子版）。文本由乙方邮箱（yanjiuyuan@yongxiu2012.com）成功发送至甲方指定邮箱"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成果电子版由乙方成功发送至甲</w:t>
      </w:r>
      <w:bookmarkStart w:id="3" w:name="_Hlt44231989"/>
      <w:r>
        <w:rPr>
          <w:rFonts w:hint="eastAsia" w:ascii="宋体" w:hAnsi="宋体" w:eastAsia="宋体" w:cs="宋体"/>
          <w:color w:val="auto"/>
          <w:sz w:val="24"/>
          <w:szCs w:val="24"/>
          <w:highlight w:val="none"/>
        </w:rPr>
        <w:t>方</w:t>
      </w:r>
      <w:bookmarkEnd w:id="3"/>
      <w:r>
        <w:rPr>
          <w:rFonts w:hint="eastAsia" w:ascii="宋体" w:hAnsi="宋体" w:eastAsia="宋体" w:cs="宋体"/>
          <w:color w:val="auto"/>
          <w:sz w:val="24"/>
          <w:szCs w:val="24"/>
          <w:highlight w:val="none"/>
        </w:rPr>
        <w:t>联系人</w:t>
      </w:r>
      <w:bookmarkEnd w:id="1"/>
      <w:bookmarkEnd w:id="2"/>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Hans"/>
        </w:rPr>
        <w:t>邮箱或</w:t>
      </w:r>
      <w:r>
        <w:rPr>
          <w:rFonts w:hint="eastAsia" w:ascii="宋体" w:hAnsi="宋体" w:eastAsia="宋体" w:cs="宋体"/>
          <w:color w:val="auto"/>
          <w:sz w:val="24"/>
          <w:szCs w:val="24"/>
          <w:highlight w:val="none"/>
        </w:rPr>
        <w:t>微信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，电话告知甲方指定联系人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即视为提交。</w:t>
      </w:r>
    </w:p>
    <w:p>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（四）时间安排</w:t>
      </w:r>
    </w:p>
    <w:p>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自政府采购合同签订生效之日起至本项目所有服务内容完成之日止。</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r>
        <w:rPr>
          <w:rFonts w:hint="eastAsia" w:ascii="宋体" w:hAnsi="宋体" w:eastAsia="宋体" w:cs="宋体"/>
          <w:color w:val="auto"/>
          <w:sz w:val="24"/>
          <w:szCs w:val="24"/>
          <w:highlight w:val="none"/>
        </w:rPr>
        <w:t>前需要完成采购人要求的服务内容。</w:t>
      </w:r>
    </w:p>
    <w:p>
      <w:pPr>
        <w:spacing w:before="156" w:beforeLines="50" w:after="156" w:afterLines="50" w:line="600" w:lineRule="exact"/>
        <w:outlineLvl w:val="0"/>
        <w:rPr>
          <w:rFonts w:hint="eastAsia" w:ascii="宋体" w:hAnsi="宋体" w:eastAsia="宋体" w:cs="宋体"/>
          <w:b/>
          <w:color w:val="auto"/>
          <w:sz w:val="24"/>
          <w:szCs w:val="24"/>
          <w:highlight w:val="none"/>
        </w:rPr>
      </w:pPr>
      <w:bookmarkStart w:id="4" w:name="_Toc9116"/>
      <w:r>
        <w:rPr>
          <w:rFonts w:hint="eastAsia" w:ascii="宋体" w:hAnsi="宋体" w:eastAsia="宋体" w:cs="宋体"/>
          <w:b/>
          <w:color w:val="auto"/>
          <w:sz w:val="24"/>
          <w:szCs w:val="24"/>
          <w:highlight w:val="none"/>
        </w:rPr>
        <w:t>二、合同金额及付款方式</w:t>
      </w:r>
      <w:bookmarkEnd w:id="4"/>
    </w:p>
    <w:p>
      <w:pPr>
        <w:keepNext w:val="0"/>
        <w:keepLines w:val="0"/>
        <w:pageBreakBefore w:val="0"/>
        <w:kinsoku/>
        <w:wordWrap/>
        <w:overflowPunct/>
        <w:topLinePunct w:val="0"/>
        <w:autoSpaceDE/>
        <w:autoSpaceDN/>
        <w:bidi w:val="0"/>
        <w:adjustRightInd/>
        <w:snapToGrid/>
        <w:spacing w:line="560" w:lineRule="exact"/>
        <w:ind w:left="1439" w:leftChars="228" w:hanging="960" w:hangingChars="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（一）合同总金额：本项目合同总金额为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Hans"/>
        </w:rPr>
        <w:t>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（二）付款期限及方式：</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1.自合同签订后</w:t>
      </w:r>
      <w:r>
        <w:rPr>
          <w:rFonts w:hint="eastAsia" w:ascii="宋体" w:hAnsi="宋体" w:eastAsia="宋体" w:cs="宋体"/>
          <w:color w:val="auto"/>
          <w:sz w:val="24"/>
          <w:szCs w:val="24"/>
          <w:highlight w:val="none"/>
          <w:lang w:val="en-US" w:eastAsia="zh-CN"/>
        </w:rPr>
        <w:t>达到付款条件起 30 日内</w:t>
      </w:r>
      <w:r>
        <w:rPr>
          <w:rFonts w:hint="eastAsia" w:ascii="宋体" w:hAnsi="宋体" w:eastAsia="宋体" w:cs="宋体"/>
          <w:color w:val="auto"/>
          <w:sz w:val="24"/>
          <w:szCs w:val="24"/>
          <w:highlight w:val="none"/>
        </w:rPr>
        <w:t>，乙方提供相应发票，甲方支付合同额总金额的</w:t>
      </w:r>
      <w:r>
        <w:rPr>
          <w:rFonts w:hint="eastAsia" w:ascii="宋体" w:hAnsi="宋体" w:eastAsia="宋体" w:cs="宋体"/>
          <w:color w:val="auto"/>
          <w:sz w:val="24"/>
          <w:szCs w:val="24"/>
          <w:highlight w:val="none"/>
          <w:u w:val="single"/>
          <w:lang w:val="en-US" w:eastAsia="zh-CN"/>
        </w:rPr>
        <w:t xml:space="preserve">   55%  </w:t>
      </w:r>
      <w:r>
        <w:rPr>
          <w:rFonts w:hint="eastAsia" w:ascii="宋体" w:hAnsi="宋体" w:eastAsia="宋体" w:cs="宋体"/>
          <w:color w:val="auto"/>
          <w:sz w:val="24"/>
          <w:szCs w:val="24"/>
          <w:highlight w:val="none"/>
        </w:rPr>
        <w:t>的款项即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red"/>
          <w:lang w:val="en-US" w:eastAsia="zh-CN"/>
        </w:rPr>
      </w:pPr>
      <w:r>
        <w:rPr>
          <w:rFonts w:hint="eastAsia" w:ascii="宋体" w:hAnsi="宋体" w:eastAsia="宋体" w:cs="宋体"/>
          <w:color w:val="auto"/>
          <w:sz w:val="24"/>
          <w:szCs w:val="24"/>
          <w:highlight w:val="none"/>
          <w:lang w:val="en-US" w:eastAsia="zh-CN"/>
        </w:rPr>
        <w:t>2.按程序报批并正式印发后 ，达到付款条件起 30 日内，</w:t>
      </w:r>
      <w:r>
        <w:rPr>
          <w:rFonts w:hint="eastAsia" w:ascii="宋体" w:hAnsi="宋体" w:eastAsia="宋体" w:cs="宋体"/>
          <w:color w:val="auto"/>
          <w:sz w:val="24"/>
          <w:szCs w:val="24"/>
          <w:highlight w:val="none"/>
        </w:rPr>
        <w:t>乙方提供相应发票，</w:t>
      </w:r>
      <w:r>
        <w:rPr>
          <w:rFonts w:hint="eastAsia" w:ascii="宋体" w:hAnsi="宋体" w:eastAsia="宋体" w:cs="宋体"/>
          <w:color w:val="auto"/>
          <w:sz w:val="24"/>
          <w:szCs w:val="24"/>
          <w:highlight w:val="none"/>
          <w:lang w:val="en-US" w:eastAsia="zh-CN"/>
        </w:rPr>
        <w:t>甲方支付合同额总金额的</w:t>
      </w:r>
      <w:r>
        <w:rPr>
          <w:rFonts w:hint="eastAsia" w:ascii="宋体" w:hAnsi="宋体" w:eastAsia="宋体" w:cs="宋体"/>
          <w:color w:val="auto"/>
          <w:sz w:val="24"/>
          <w:szCs w:val="24"/>
          <w:highlight w:val="none"/>
          <w:u w:val="single"/>
          <w:lang w:val="en-US" w:eastAsia="zh-CN"/>
        </w:rPr>
        <w:t xml:space="preserve">  45%</w:t>
      </w:r>
      <w:bookmarkStart w:id="9" w:name="_GoBack"/>
      <w:bookmarkEnd w:id="9"/>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的款项即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red"/>
          <w:lang w:val="en-US" w:eastAsia="zh-CN"/>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如乙方项目结题未能验收合格，则甲方有权拒绝支付剩余款项，并由乙方承担甲方重新进行规划编制所需的全部花</w:t>
      </w:r>
      <w:r>
        <w:rPr>
          <w:rFonts w:hint="eastAsia" w:ascii="宋体" w:hAnsi="宋体" w:eastAsia="宋体" w:cs="宋体"/>
          <w:color w:val="auto"/>
          <w:sz w:val="24"/>
          <w:szCs w:val="24"/>
          <w:highlight w:val="none"/>
          <w:lang w:val="en-US" w:eastAsia="zh-CN"/>
        </w:rPr>
        <w:t>费；</w:t>
      </w:r>
    </w:p>
    <w:p>
      <w:pPr>
        <w:pStyle w:val="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val="en-US" w:eastAsia="zh-CN"/>
        </w:rPr>
        <w:t>向乙方付款前，</w:t>
      </w:r>
      <w:r>
        <w:rPr>
          <w:rFonts w:hint="eastAsia" w:ascii="宋体" w:hAnsi="宋体" w:eastAsia="宋体" w:cs="宋体"/>
          <w:color w:val="auto"/>
          <w:sz w:val="24"/>
          <w:szCs w:val="24"/>
          <w:highlight w:val="none"/>
        </w:rPr>
        <w:t>乙方向甲方出具相应足额发票</w:t>
      </w:r>
      <w:r>
        <w:rPr>
          <w:rFonts w:hint="eastAsia" w:ascii="宋体" w:hAnsi="宋体" w:eastAsia="宋体" w:cs="宋体"/>
          <w:color w:val="auto"/>
          <w:sz w:val="24"/>
          <w:szCs w:val="24"/>
          <w:highlight w:val="none"/>
          <w:lang w:eastAsia="zh-CN"/>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4.如甲方因财政资金未拨付而未按时向乙方付款，视财政资金到位情况，进行结算。</w:t>
      </w:r>
    </w:p>
    <w:p>
      <w:pPr>
        <w:spacing w:before="156" w:beforeLines="50" w:after="156" w:afterLines="50" w:line="600" w:lineRule="exact"/>
        <w:outlineLvl w:val="0"/>
        <w:rPr>
          <w:rFonts w:hint="eastAsia" w:ascii="宋体" w:hAnsi="宋体" w:eastAsia="宋体" w:cs="宋体"/>
          <w:b/>
          <w:color w:val="auto"/>
          <w:sz w:val="24"/>
          <w:szCs w:val="24"/>
          <w:highlight w:val="none"/>
        </w:rPr>
      </w:pPr>
      <w:bookmarkStart w:id="5" w:name="_Toc5256"/>
      <w:r>
        <w:rPr>
          <w:rFonts w:hint="eastAsia" w:ascii="宋体" w:hAnsi="宋体" w:eastAsia="宋体" w:cs="宋体"/>
          <w:b/>
          <w:color w:val="auto"/>
          <w:sz w:val="24"/>
          <w:szCs w:val="24"/>
          <w:highlight w:val="none"/>
        </w:rPr>
        <w:t>三、甲乙双方的权利和义务</w:t>
      </w:r>
      <w:bookmarkEnd w:id="5"/>
    </w:p>
    <w:p>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甲方的权利与义务：</w:t>
      </w:r>
    </w:p>
    <w:p>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（一）权利</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1.甲方有权对乙方的工作质量和工作进度进行督促和检查，乙方对甲方的合理合规意见和建议应当采纳并及时修正；</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2.甲方有权对乙方的工作内容提出不超出行业相关技术、标准的要求；</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3.甲方有权就乙方的工作人员和具体工作安排提出意见及建议，乙方应当及时反馈并妥善安排，保障项目及时高效完成。</w:t>
      </w:r>
    </w:p>
    <w:p>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（二）义务</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2.甲方应就乙方反馈的问题及时作出明确答复，不得无故拖延致使项目展期，如有此类现象乙方有权作出相应免责声明，甲方应就相应不利后果承担责任；</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在财政资金拨付到位的情况下，</w:t>
      </w:r>
      <w:r>
        <w:rPr>
          <w:rFonts w:hint="eastAsia" w:ascii="宋体" w:hAnsi="宋体" w:eastAsia="宋体" w:cs="宋体"/>
          <w:color w:val="auto"/>
          <w:sz w:val="24"/>
          <w:szCs w:val="24"/>
          <w:highlight w:val="none"/>
        </w:rPr>
        <w:t>甲方应当根据合同约定的付款日期和金额，按时足额向乙方支付款项；</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4.如项目成果需要评审，甲方应当及时组织评审活动，如因甲方组织评审迟延致使项目延期，相应不利后果由甲方承担。</w:t>
      </w:r>
    </w:p>
    <w:p>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乙方的权利与义务：</w:t>
      </w:r>
    </w:p>
    <w:p>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（一）权利</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1.乙方有权要求甲方按照项目资料清单及时提供项目编制所需的相应文本及数据资料；</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3.乙方有权要求甲方参与项目的相关部门及工作人员积极配合开展工作，如因甲方相关部门及工作人员的故意及过失等原因致使项目拖延，乙方概不承担相应责任；</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4.乙方有权要求甲方按时、足额支付合同约定的金额。</w:t>
      </w:r>
    </w:p>
    <w:p>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（二）义务</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1.乙方应当勤勉尽职按照国家有关规定、规范及本合同规定的服务内容及时完成项目服务；</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2.乙方如遇国家政策变化、自然灾害等不可抗力原因，不能按时完成项目编制，乙方应当及时向甲方报告，并就后期合同履行进行协商，不得无故拖延致使项目延期；</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3.乙方应严格按照合同约定的时间如期向甲方提交相应的服务项目成果。</w:t>
      </w:r>
    </w:p>
    <w:p>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需</w:t>
      </w:r>
      <w:r>
        <w:rPr>
          <w:rFonts w:hint="eastAsia" w:ascii="宋体" w:hAnsi="宋体" w:eastAsia="宋体" w:cs="宋体"/>
          <w:color w:val="auto"/>
          <w:sz w:val="24"/>
          <w:szCs w:val="24"/>
          <w:highlight w:val="none"/>
        </w:rPr>
        <w:t>协助甲方做好汇报及评审工作</w:t>
      </w:r>
      <w:r>
        <w:rPr>
          <w:rFonts w:hint="eastAsia" w:ascii="宋体" w:hAnsi="宋体" w:eastAsia="宋体" w:cs="宋体"/>
          <w:color w:val="auto"/>
          <w:sz w:val="24"/>
          <w:szCs w:val="24"/>
          <w:highlight w:val="none"/>
          <w:lang w:eastAsia="zh-CN"/>
        </w:rPr>
        <w:t>。</w:t>
      </w:r>
    </w:p>
    <w:p>
      <w:pPr>
        <w:spacing w:before="156" w:beforeLines="50" w:after="156" w:afterLines="50" w:line="600" w:lineRule="exact"/>
        <w:outlineLvl w:val="0"/>
        <w:rPr>
          <w:rFonts w:hint="eastAsia" w:ascii="宋体" w:hAnsi="宋体" w:eastAsia="宋体" w:cs="宋体"/>
          <w:b/>
          <w:color w:val="auto"/>
          <w:sz w:val="24"/>
          <w:szCs w:val="24"/>
          <w:highlight w:val="none"/>
        </w:rPr>
      </w:pPr>
      <w:bookmarkStart w:id="6" w:name="_Toc13871"/>
      <w:r>
        <w:rPr>
          <w:rFonts w:hint="eastAsia" w:ascii="宋体" w:hAnsi="宋体" w:eastAsia="宋体" w:cs="宋体"/>
          <w:b/>
          <w:color w:val="auto"/>
          <w:sz w:val="24"/>
          <w:szCs w:val="24"/>
          <w:highlight w:val="none"/>
        </w:rPr>
        <w:t>四、合同的履行、违约责任及争议的解决</w:t>
      </w:r>
      <w:bookmarkEnd w:id="6"/>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（一）如因乙方擅自无故终止合同，无权继续获得项目费用，并退还已收取的所有服务费，并向甲方支付总服务费的40%作为违约金，若因此给甲方造成损失的，乙方还应向甲方赔偿损失。</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（二）乙方所交付的成果应经甲方及时验收，若成果不符合甲方提出不超出国家、行业相关技术和标准的要求，乙方应对甲方的合理、合规意见及时采纳并予以修改完善。</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（三）其他未尽事宜，由双方协商一致另行达成补充协议处理。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）合同履行过程中双方发生争议，双方均可向甲方所在地人民法院起诉。</w:t>
      </w:r>
    </w:p>
    <w:p>
      <w:pPr>
        <w:spacing w:before="156" w:beforeLines="50" w:after="156" w:afterLines="50" w:line="600" w:lineRule="exact"/>
        <w:outlineLvl w:val="0"/>
        <w:rPr>
          <w:rFonts w:hint="eastAsia" w:ascii="宋体" w:hAnsi="宋体" w:eastAsia="宋体" w:cs="宋体"/>
          <w:b/>
          <w:color w:val="auto"/>
          <w:sz w:val="24"/>
          <w:szCs w:val="24"/>
          <w:highlight w:val="none"/>
        </w:rPr>
      </w:pPr>
      <w:bookmarkStart w:id="7" w:name="_Toc21223"/>
      <w:r>
        <w:rPr>
          <w:rFonts w:hint="eastAsia" w:ascii="宋体" w:hAnsi="宋体" w:eastAsia="宋体" w:cs="宋体"/>
          <w:b/>
          <w:color w:val="auto"/>
          <w:sz w:val="24"/>
          <w:szCs w:val="24"/>
          <w:highlight w:val="none"/>
        </w:rPr>
        <w:t>五、保密约定</w:t>
      </w:r>
      <w:bookmarkEnd w:id="7"/>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pPr>
        <w:spacing w:before="156" w:beforeLines="50" w:after="156" w:afterLines="50" w:line="600" w:lineRule="exact"/>
        <w:outlineLvl w:val="0"/>
        <w:rPr>
          <w:rFonts w:hint="eastAsia" w:ascii="宋体" w:hAnsi="宋体" w:eastAsia="宋体" w:cs="宋体"/>
          <w:b/>
          <w:color w:val="auto"/>
          <w:sz w:val="24"/>
          <w:szCs w:val="24"/>
          <w:highlight w:val="none"/>
        </w:rPr>
      </w:pPr>
      <w:bookmarkStart w:id="8" w:name="_Toc6882"/>
      <w:r>
        <w:rPr>
          <w:rFonts w:hint="eastAsia" w:ascii="宋体" w:hAnsi="宋体" w:eastAsia="宋体" w:cs="宋体"/>
          <w:b/>
          <w:color w:val="auto"/>
          <w:sz w:val="24"/>
          <w:szCs w:val="24"/>
          <w:highlight w:val="none"/>
        </w:rPr>
        <w:t>六、附则</w:t>
      </w:r>
      <w:bookmarkEnd w:id="8"/>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（一）本合同自双方签字、盖章之日起生效。履行期间发生争议的，双方均可向甲方所在地人民法院提起诉讼。</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（二）本合同一式肆份，双方各执贰份，具有同等法律效力。</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（三）本合同未尽事宜，由双方另行签订补充协议予以完善。</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（四）本合同若有补充协议及附件等文件，同为本合同不可分割的组成部分，与本合同具有同等法律效力。</w:t>
      </w:r>
    </w:p>
    <w:p>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（以下无正文，转签章页）</w:t>
      </w:r>
    </w:p>
    <w:p>
      <w:pPr>
        <w:adjustRightInd w:val="0"/>
        <w:snapToGrid w:val="0"/>
        <w:spacing w:line="6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（本页无正文，为签章页）</w:t>
      </w:r>
    </w:p>
    <w:tbl>
      <w:tblPr>
        <w:tblStyle w:val="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0"/>
        <w:gridCol w:w="4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2429" w:type="pct"/>
          </w:tcPr>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方（盖章）</w:t>
            </w: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tc>
        <w:tc>
          <w:tcPr>
            <w:tcW w:w="2570" w:type="pct"/>
          </w:tcPr>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方（盖章）</w:t>
            </w: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2429" w:type="pct"/>
            <w:tcBorders>
              <w:left w:val="single" w:color="auto" w:sz="4" w:space="0"/>
              <w:bottom w:val="single" w:color="auto" w:sz="4" w:space="0"/>
            </w:tcBorders>
          </w:tcPr>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单位名称：铜川市财政局</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单位地址：铜川新区金谟东路1号</w:t>
            </w:r>
          </w:p>
          <w:p>
            <w:pPr>
              <w:pStyle w:val="6"/>
              <w:rPr>
                <w:rFonts w:hint="eastAsia" w:ascii="宋体" w:hAnsi="宋体" w:eastAsia="宋体" w:cs="宋体"/>
                <w:color w:val="auto"/>
                <w:sz w:val="24"/>
                <w:szCs w:val="24"/>
                <w:highlight w:val="none"/>
              </w:rPr>
            </w:pP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pPr>
              <w:pStyle w:val="6"/>
              <w:rPr>
                <w:rFonts w:hint="eastAsia" w:ascii="宋体" w:hAnsi="宋体" w:eastAsia="宋体" w:cs="宋体"/>
                <w:color w:val="auto"/>
                <w:sz w:val="24"/>
                <w:szCs w:val="24"/>
                <w:highlight w:val="none"/>
              </w:rPr>
            </w:pP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p>
            <w:pPr>
              <w:widowControl/>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lang w:val="en-US" w:eastAsia="zh-CN"/>
              </w:rPr>
              <w:t>727000</w:t>
            </w:r>
          </w:p>
          <w:p>
            <w:pPr>
              <w:widowControl/>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2570" w:type="pct"/>
            <w:tcBorders>
              <w:bottom w:val="single" w:color="auto" w:sz="4" w:space="0"/>
            </w:tcBorders>
          </w:tcPr>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p>
            <w:pPr>
              <w:pStyle w:val="6"/>
              <w:rPr>
                <w:rFonts w:hint="eastAsia" w:ascii="宋体" w:hAnsi="宋体" w:eastAsia="宋体" w:cs="宋体"/>
                <w:color w:val="auto"/>
                <w:sz w:val="24"/>
                <w:szCs w:val="24"/>
                <w:highlight w:val="none"/>
              </w:rPr>
            </w:pPr>
          </w:p>
          <w:p>
            <w:pPr>
              <w:widowControl/>
              <w:jc w:val="left"/>
              <w:rPr>
                <w:rFonts w:hint="eastAsia" w:ascii="宋体" w:hAnsi="宋体" w:eastAsia="宋体" w:cs="宋体"/>
                <w:color w:val="auto"/>
                <w:sz w:val="24"/>
                <w:szCs w:val="24"/>
                <w:highlight w:val="none"/>
              </w:rPr>
            </w:pP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pPr>
              <w:pStyle w:val="6"/>
              <w:rPr>
                <w:rFonts w:hint="eastAsia" w:ascii="宋体" w:hAnsi="宋体" w:eastAsia="宋体" w:cs="宋体"/>
                <w:color w:val="auto"/>
                <w:sz w:val="24"/>
                <w:szCs w:val="24"/>
                <w:highlight w:val="none"/>
              </w:rPr>
            </w:pP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pPr>
              <w:widowControl/>
              <w:jc w:val="left"/>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rPr>
              <w:t>联 系 人：</w:t>
            </w:r>
          </w:p>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r>
    </w:tbl>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453F5"/>
    <w:rsid w:val="042E0790"/>
    <w:rsid w:val="047F6E06"/>
    <w:rsid w:val="12303925"/>
    <w:rsid w:val="15C63646"/>
    <w:rsid w:val="1CFE05C0"/>
    <w:rsid w:val="25164BFC"/>
    <w:rsid w:val="2C1F26C8"/>
    <w:rsid w:val="2D5453F5"/>
    <w:rsid w:val="2EFB3E20"/>
    <w:rsid w:val="30AF4B46"/>
    <w:rsid w:val="34324790"/>
    <w:rsid w:val="49CD76D0"/>
    <w:rsid w:val="54752E3E"/>
    <w:rsid w:val="6D980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unhideWhenUsed/>
    <w:qFormat/>
    <w:uiPriority w:val="0"/>
    <w:pPr>
      <w:spacing w:after="120"/>
    </w:pPr>
  </w:style>
  <w:style w:type="paragraph" w:styleId="4">
    <w:name w:val="Body Text First Indent 2"/>
    <w:basedOn w:val="5"/>
    <w:next w:val="1"/>
    <w:unhideWhenUsed/>
    <w:qFormat/>
    <w:uiPriority w:val="0"/>
    <w:pPr>
      <w:spacing w:after="120"/>
      <w:ind w:left="420" w:leftChars="200" w:firstLine="420" w:firstLineChars="200"/>
    </w:pPr>
    <w:rPr>
      <w:sz w:val="24"/>
    </w:rPr>
  </w:style>
  <w:style w:type="paragraph" w:styleId="5">
    <w:name w:val="Body Text Indent"/>
    <w:basedOn w:val="1"/>
    <w:next w:val="1"/>
    <w:qFormat/>
    <w:uiPriority w:val="99"/>
    <w:pPr>
      <w:spacing w:line="360" w:lineRule="auto"/>
      <w:ind w:left="424" w:leftChars="202" w:firstLine="567"/>
    </w:pPr>
    <w:rPr>
      <w:sz w:val="24"/>
      <w:szCs w:val="24"/>
    </w:rPr>
  </w:style>
  <w:style w:type="paragraph" w:styleId="6">
    <w:name w:val="Normal Indent"/>
    <w:basedOn w:val="1"/>
    <w:next w:val="7"/>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7">
    <w:name w:val="index 5"/>
    <w:basedOn w:val="1"/>
    <w:next w:val="1"/>
    <w:qFormat/>
    <w:uiPriority w:val="0"/>
    <w:pPr>
      <w:ind w:left="168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2415</Words>
  <Characters>2460</Characters>
  <Lines>0</Lines>
  <Paragraphs>0</Paragraphs>
  <TotalTime>0</TotalTime>
  <ScaleCrop>false</ScaleCrop>
  <LinksUpToDate>false</LinksUpToDate>
  <CharactersWithSpaces>2792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2025-08-25T09:19:00Z</dcterms:created>
  <dc:creator>竹下半碗茶</dc:creator>
  <cp:lastModifiedBy>靜</cp:lastModifiedBy>
  <dcterms:modified xsi:type="dcterms:W3CDTF">2025-08-28T10:12:10Z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11DC47E9C9AD4F5EA160F28682EAAA96</vt:lpwstr>
  </property>
  <property fmtid="{D5CDD505-2E9C-101B-9397-08002B2CF9AE}" pid="4" name="KSOTemplateDocerSaveRecord">
    <vt:lpwstr>eyJoZGlkIjoiNDI3ZGIxY2I2MzI0MDM3YmNmZjRjMTkyNWE1OTU1NDQiLCJ1c2VySWQiOiIxNjg5NTY1MzgwIn0=</vt:lpwstr>
  </property>
</Properties>
</file>