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7E8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费用明细表</w:t>
      </w:r>
    </w:p>
    <w:p w14:paraId="403FF5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25EC0E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72232895">
      <w:pPr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投标人名称：{供应商名称}</w:t>
      </w:r>
    </w:p>
    <w:p w14:paraId="2DB52AB1">
      <w:pPr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02B86C59">
      <w:pPr>
        <w:ind w:firstLine="5760" w:firstLineChars="2400"/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货币及单位：人民币/元</w:t>
      </w:r>
    </w:p>
    <w:tbl>
      <w:tblPr>
        <w:tblStyle w:val="7"/>
        <w:tblW w:w="56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970"/>
        <w:gridCol w:w="1595"/>
        <w:gridCol w:w="835"/>
        <w:gridCol w:w="1771"/>
        <w:gridCol w:w="1085"/>
        <w:gridCol w:w="1417"/>
      </w:tblGrid>
      <w:tr w14:paraId="2B854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13" w:type="pct"/>
            <w:vAlign w:val="center"/>
          </w:tcPr>
          <w:p w14:paraId="546ADEA3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019" w:type="pct"/>
            <w:vAlign w:val="center"/>
          </w:tcPr>
          <w:p w14:paraId="0A1495B9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采购内容名称</w:t>
            </w:r>
          </w:p>
        </w:tc>
        <w:tc>
          <w:tcPr>
            <w:tcW w:w="825" w:type="pct"/>
            <w:vAlign w:val="center"/>
          </w:tcPr>
          <w:p w14:paraId="5189853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单价/元</w:t>
            </w:r>
          </w:p>
        </w:tc>
        <w:tc>
          <w:tcPr>
            <w:tcW w:w="432" w:type="pct"/>
            <w:vAlign w:val="center"/>
          </w:tcPr>
          <w:p w14:paraId="104D5E2C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16" w:type="pct"/>
            <w:vAlign w:val="center"/>
          </w:tcPr>
          <w:p w14:paraId="6A7E0F11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561" w:type="pct"/>
            <w:vAlign w:val="center"/>
          </w:tcPr>
          <w:p w14:paraId="58125075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交货或服务期</w:t>
            </w:r>
          </w:p>
        </w:tc>
        <w:tc>
          <w:tcPr>
            <w:tcW w:w="732" w:type="pct"/>
            <w:vAlign w:val="center"/>
          </w:tcPr>
          <w:p w14:paraId="6E24EF0B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交货或服务地点</w:t>
            </w:r>
          </w:p>
        </w:tc>
      </w:tr>
      <w:tr w14:paraId="6DA5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13" w:type="pct"/>
            <w:vAlign w:val="center"/>
          </w:tcPr>
          <w:p w14:paraId="06F31DF1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019" w:type="pct"/>
            <w:vAlign w:val="center"/>
          </w:tcPr>
          <w:p w14:paraId="39B82009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铜川市“十五五”财政规划</w:t>
            </w:r>
          </w:p>
        </w:tc>
        <w:tc>
          <w:tcPr>
            <w:tcW w:w="825" w:type="pct"/>
            <w:vAlign w:val="center"/>
          </w:tcPr>
          <w:p w14:paraId="4BB082C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2783F2E9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75410E5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3C54BC4A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5E52FF4F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001B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13" w:type="pct"/>
            <w:vAlign w:val="center"/>
          </w:tcPr>
          <w:p w14:paraId="3C01D1C0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019" w:type="pct"/>
            <w:vAlign w:val="center"/>
          </w:tcPr>
          <w:p w14:paraId="4C18940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夯实铜川市财源建设研究</w:t>
            </w:r>
          </w:p>
        </w:tc>
        <w:tc>
          <w:tcPr>
            <w:tcW w:w="825" w:type="pct"/>
            <w:vAlign w:val="center"/>
          </w:tcPr>
          <w:p w14:paraId="295557A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5E8E5114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04B607C1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5CDECA9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074FD21F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12EF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13" w:type="pct"/>
            <w:vAlign w:val="center"/>
          </w:tcPr>
          <w:p w14:paraId="1AD821D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019" w:type="pct"/>
            <w:vAlign w:val="center"/>
          </w:tcPr>
          <w:p w14:paraId="3A94B2A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优化铜川市财政支出结构研究</w:t>
            </w:r>
          </w:p>
        </w:tc>
        <w:tc>
          <w:tcPr>
            <w:tcW w:w="825" w:type="pct"/>
            <w:vAlign w:val="center"/>
          </w:tcPr>
          <w:p w14:paraId="35D8DD6C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50465E13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4AE2688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7A13D40E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3CFBDDED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1E04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513" w:type="pct"/>
            <w:vAlign w:val="center"/>
          </w:tcPr>
          <w:p w14:paraId="07221C96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019" w:type="pct"/>
            <w:vAlign w:val="center"/>
          </w:tcPr>
          <w:p w14:paraId="2200FED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强化铜川市债务管理策略研究</w:t>
            </w:r>
          </w:p>
        </w:tc>
        <w:tc>
          <w:tcPr>
            <w:tcW w:w="825" w:type="pct"/>
            <w:vAlign w:val="center"/>
          </w:tcPr>
          <w:p w14:paraId="17E3A26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1860E614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4C0B3DC9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5DE55321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0360620E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6EB9F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513" w:type="pct"/>
            <w:vAlign w:val="center"/>
          </w:tcPr>
          <w:p w14:paraId="00848E6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019" w:type="pct"/>
            <w:vAlign w:val="center"/>
          </w:tcPr>
          <w:p w14:paraId="14F53E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铜川市财会监督体系的完善与效能提升研究</w:t>
            </w:r>
          </w:p>
        </w:tc>
        <w:tc>
          <w:tcPr>
            <w:tcW w:w="825" w:type="pct"/>
            <w:vAlign w:val="center"/>
          </w:tcPr>
          <w:p w14:paraId="6894443F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7A7C4D1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05FB12B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714E37A8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4F23CF2F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1EB4F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513" w:type="pct"/>
            <w:vAlign w:val="center"/>
          </w:tcPr>
          <w:p w14:paraId="44AB25DB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019" w:type="pct"/>
            <w:vAlign w:val="center"/>
          </w:tcPr>
          <w:p w14:paraId="738FFD0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铜川市财政预算科学管理的实施难点与突破路径研究</w:t>
            </w:r>
          </w:p>
        </w:tc>
        <w:tc>
          <w:tcPr>
            <w:tcW w:w="825" w:type="pct"/>
            <w:vAlign w:val="center"/>
          </w:tcPr>
          <w:p w14:paraId="305382A8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432" w:type="pct"/>
            <w:vAlign w:val="center"/>
          </w:tcPr>
          <w:p w14:paraId="56AE44B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916" w:type="pct"/>
            <w:vAlign w:val="center"/>
          </w:tcPr>
          <w:p w14:paraId="6F7B3C4F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561" w:type="pct"/>
            <w:vAlign w:val="center"/>
          </w:tcPr>
          <w:p w14:paraId="592F55C3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732" w:type="pct"/>
            <w:vAlign w:val="center"/>
          </w:tcPr>
          <w:p w14:paraId="2F2B1033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572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532" w:type="pct"/>
            <w:gridSpan w:val="2"/>
            <w:vMerge w:val="restart"/>
            <w:vAlign w:val="center"/>
          </w:tcPr>
          <w:p w14:paraId="3F7279C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3467" w:type="pct"/>
            <w:gridSpan w:val="5"/>
            <w:vAlign w:val="center"/>
          </w:tcPr>
          <w:p w14:paraId="602755EB">
            <w:pPr>
              <w:ind w:firstLine="1680" w:firstLineChars="8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¥：                      元</w:t>
            </w:r>
          </w:p>
        </w:tc>
      </w:tr>
      <w:tr w14:paraId="44B8C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532" w:type="pct"/>
            <w:gridSpan w:val="2"/>
            <w:vMerge w:val="continue"/>
            <w:vAlign w:val="center"/>
          </w:tcPr>
          <w:p w14:paraId="3DFEEF38"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67" w:type="pct"/>
            <w:gridSpan w:val="5"/>
            <w:vAlign w:val="center"/>
          </w:tcPr>
          <w:p w14:paraId="1EF66B26">
            <w:pPr>
              <w:ind w:firstLine="1470" w:firstLineChars="7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大写： </w:t>
            </w:r>
          </w:p>
        </w:tc>
      </w:tr>
    </w:tbl>
    <w:p w14:paraId="739777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2922CB9">
      <w:pPr>
        <w:spacing w:line="480" w:lineRule="auto"/>
        <w:ind w:left="424" w:leftChars="202" w:right="540" w:rightChars="257" w:firstLine="3120" w:firstLineChars="13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（加盖单位公章）</w:t>
      </w:r>
    </w:p>
    <w:p w14:paraId="6E5AA36C">
      <w:pPr>
        <w:spacing w:line="480" w:lineRule="auto"/>
        <w:ind w:right="540" w:rightChars="257" w:firstLine="3600" w:firstLineChars="1500"/>
        <w:jc w:val="left"/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日期：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E18A6"/>
    <w:rsid w:val="23A02D0C"/>
    <w:rsid w:val="2B3A2B33"/>
    <w:rsid w:val="440F1DDE"/>
    <w:rsid w:val="642E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2025-08-25T09:05:00Z</dcterms:created>
  <dc:creator>竹下半碗茶</dc:creator>
  <cp:lastModifiedBy>无可替代</cp:lastModifiedBy>
  <dcterms:modified xsi:type="dcterms:W3CDTF">2025-08-27T02:29:40Z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7C0670B831C74A30A7087C62791BE46C_11</vt:lpwstr>
  </property>
  <property fmtid="{D5CDD505-2E9C-101B-9397-08002B2CF9AE}" pid="4" name="KSOTemplateDocerSaveRecord">
    <vt:lpwstr>eyJoZGlkIjoiN2JmNTdkZDFmZTVjYjg4ZjgzODIxOTc2MzA3MzFkZWEiLCJ1c2VySWQiOiI0MjkzODUxNTgifQ==</vt:lpwstr>
  </property>
</Properties>
</file>