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highlight w:val="none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highlight w:val="none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highlight w:val="none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highlight w:val="none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highlight w:val="none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highlight w:val="none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highlight w:val="none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highlight w:val="none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</w:p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60CC047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）合同签订后，达到付款条件起10日内，支付合同总金额的60.00%。</w:t>
      </w:r>
    </w:p>
    <w:p w14:paraId="515BFBC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）项目设计开发完成后，交付甲方，达到付款条件起10日内，支付合同总金额的30.00%。</w:t>
      </w:r>
    </w:p>
    <w:p w14:paraId="77E06DA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）产品经甲方验收合格投入使用后，达到付款条件起30日内，支付合同总金额的10.00%。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3个月</w:t>
      </w:r>
      <w:bookmarkStart w:id="10" w:name="_GoBack"/>
      <w:bookmarkEnd w:id="10"/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2、地点：甲方指定地点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24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698CCDD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3-3、质量保修范围和保修期：（1）投标人需提供运行维保期限为项目验收合格（自双方代表在最终验收报告上签字之日）后1年的免费运维服务，期间存在任何软件故障由乙方负责解决处理，并承担全部费用，甲方不再向乙方支付任何费用。</w:t>
      </w:r>
    </w:p>
    <w:p w14:paraId="0BF810AC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（2）投标人需免费提供7*24小时服务。免费运维期内，供应商需安排1名技术人员专人对接，保证系统正常运行。</w:t>
      </w:r>
    </w:p>
    <w:p w14:paraId="1DA33BD6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（3）免费运维期外服务：具体运维方案与免费运维期的内容一致，免费运维期结束后，若系统发生问题，费用由甲方支付，具体金额视实际情况据实结算，维保服务金额不得超过本次合同成交价8%的金额或维保服务金额需经双方协商后确认。</w:t>
      </w:r>
    </w:p>
    <w:p w14:paraId="5DA5D5AF">
      <w:pPr>
        <w:numPr>
          <w:ilvl w:val="0"/>
          <w:numId w:val="1"/>
        </w:num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知识产权归属和处理方式：</w:t>
      </w:r>
    </w:p>
    <w:p w14:paraId="4D43C99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4.1、乙方应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乙方承担所有相关责任。甲方享有本项目实施过程中产生的知识成果及知识产权。</w:t>
      </w:r>
    </w:p>
    <w:p w14:paraId="6EF4573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-2、乙方将在采购项目实施过程中采用自有或者第三方知识成果的，使用该知识成果后，乙方需提供开发接口和开发手册等技术资料，并承诺提供无限期支持，甲方享有使用权（含甲方委托第三方在该项目后续开发的使用权）。</w:t>
      </w:r>
    </w:p>
    <w:p w14:paraId="053DC660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4-3、如采用乙方所不拥有的知识产权，则在报价中必须包括合法使用该知识产权的相关费用。</w:t>
      </w:r>
    </w:p>
    <w:p w14:paraId="0046DA7D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4-4、构成本招标文件的各组成部分，未经甲方书面同意，乙方不得擅自复印或用于非本招标项目所需的其他目的。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723A3A14">
      <w:pPr>
        <w:spacing w:line="360" w:lineRule="auto"/>
        <w:ind w:firstLine="400" w:firstLineChars="200"/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3、</w:t>
      </w: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1、成交通知书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（2）甲、乙双方均同意向（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"http://www.baidu.com/s?wd=%E4%BB%B2%E8%A3%81%E5%A7%94%E5%91%98%E4%BC%9A&amp;tn=SE_PcZhidaonwhc_ngpagmjz&amp;rsv_dl=gh_pc_zhidao" \t "_blank" </w:instrText>
      </w:r>
      <w:r>
        <w:rPr>
          <w:highlight w:val="none"/>
        </w:rPr>
        <w:fldChar w:fldCharType="separate"/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highlight w:val="none"/>
        </w:rPr>
      </w:pPr>
      <w:r>
        <w:rPr>
          <w:rFonts w:hint="eastAsia" w:asciiTheme="minorEastAsia" w:hAnsiTheme="minorEastAsia"/>
          <w:sz w:val="20"/>
          <w:szCs w:val="20"/>
          <w:highlight w:val="none"/>
        </w:rPr>
        <w:t>4、生效时间：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  <w:highlight w:val="none"/>
        </w:rPr>
        <w:t>年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  <w:highlight w:val="none"/>
        </w:rPr>
        <w:t>月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  <w:highlight w:val="none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  <w:highlight w:val="none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highlight w:val="none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highlight w:val="none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highlight w:val="none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highlight w:val="none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asciiTheme="minorEastAsia" w:hAnsiTheme="minorEastAsia"/>
          <w:sz w:val="20"/>
          <w:szCs w:val="20"/>
          <w:highlight w:val="none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highlight w:val="none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  <w:highlight w:val="none"/>
        </w:rPr>
      </w:pPr>
      <w:r>
        <w:rPr>
          <w:rFonts w:asciiTheme="minorEastAsia" w:hAnsiTheme="minorEastAsia"/>
          <w:sz w:val="20"/>
          <w:szCs w:val="20"/>
          <w:highlight w:val="none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  <w:highlight w:val="none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617269F5"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highlight w:val="none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highlight w:val="none"/>
          <w:lang w:eastAsia="zh-CN"/>
        </w:rPr>
      </w:pPr>
    </w:p>
    <w:p w14:paraId="1EFEA17D">
      <w:pPr>
        <w:spacing w:line="360" w:lineRule="auto"/>
        <w:rPr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1EEAA"/>
    <w:multiLevelType w:val="singleLevel"/>
    <w:tmpl w:val="B531EEAA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D063A9A"/>
    <w:rsid w:val="0EF132B6"/>
    <w:rsid w:val="0F5A5FD2"/>
    <w:rsid w:val="14CD5196"/>
    <w:rsid w:val="2F114867"/>
    <w:rsid w:val="327D0F01"/>
    <w:rsid w:val="35BB0D2B"/>
    <w:rsid w:val="3D9226FE"/>
    <w:rsid w:val="54891932"/>
    <w:rsid w:val="553B3046"/>
    <w:rsid w:val="5D0929F7"/>
    <w:rsid w:val="6DF27A8C"/>
    <w:rsid w:val="74805E60"/>
    <w:rsid w:val="7AAB7C7D"/>
    <w:rsid w:val="7BC37CA9"/>
    <w:rsid w:val="7DB22C00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2239</Words>
  <Characters>2295</Characters>
  <Lines>17</Lines>
  <Paragraphs>4</Paragraphs>
  <TotalTime>10</TotalTime>
  <ScaleCrop>false</ScaleCrop>
  <LinksUpToDate>false</LinksUpToDate>
  <CharactersWithSpaces>2361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2025-08-07T07:33:51Z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