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版本号：2025-HXCT-12420250909002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中西医协同旗舰科室服务能力提升项目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2025-HXCT-124</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中西医协同旗舰科室服务能力提升项目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中西医协同旗舰科室服务能力提升项目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中西医协同旗舰科室服务能力提升医疗设备采购，合计采购6项，详见项目采购需求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采购包1（中西医协调旗舰科室服务能力提升项目）：属于专门面向中小企业采购。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3、财务状况报告：提供经审计的2024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rFonts w:ascii="仿宋_GB2312" w:hAnsi="仿宋_GB2312" w:cs="仿宋_GB2312" w:eastAsia="仿宋_GB2312"/>
        </w:rPr>
        <w:t>4、税收缴纳证明：提供2024年9月至今任意一个月的纳税证明或税务机关开具的完税证明，依法免税的单位应提供相关证明材料；供应商需在项目电子化交易系统中按要求提供相关证明材料并进行电子签章。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5、社会保障资金缴纳证明：提供2024年9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6、信用记录查询：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p>
      <w:pPr>
        <w:pStyle w:val="null3"/>
      </w:pPr>
      <w:r>
        <w:rPr>
          <w:rFonts w:ascii="仿宋_GB2312" w:hAnsi="仿宋_GB2312" w:cs="仿宋_GB2312" w:eastAsia="仿宋_GB2312"/>
        </w:rPr>
        <w:t>7、无重大违法记录声明：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p>
      <w:pPr>
        <w:pStyle w:val="null3"/>
      </w:pPr>
      <w:r>
        <w:rPr>
          <w:rFonts w:ascii="仿宋_GB2312" w:hAnsi="仿宋_GB2312" w:cs="仿宋_GB2312" w:eastAsia="仿宋_GB2312"/>
        </w:rPr>
        <w:t>8、具有履行合同所必需的设备和专业技术能力：提供书面声明，包括声明具有履行合同所必需的设备和专业技术能力；未为本项目提供整体设计、规范编制或者项目管理、监理、检测等服务。供应商需在项目电子化交易系统中按要求提供相关证明材料并进行电子签章。</w:t>
      </w:r>
    </w:p>
    <w:p>
      <w:pPr>
        <w:pStyle w:val="null3"/>
      </w:pPr>
      <w:r>
        <w:rPr>
          <w:rFonts w:ascii="仿宋_GB2312" w:hAnsi="仿宋_GB2312" w:cs="仿宋_GB2312" w:eastAsia="仿宋_GB2312"/>
        </w:rPr>
        <w:t>9、医疗器械生产或经营资质证明：投标产品中如有医疗器械，投标供应商须具备以下资质要求：（1）供应商为经销商的应出具医疗器械经营许可证或医疗器械经营备案凭证（投标产品须在其经营范围内），投标产品属于医疗设备的提供医疗器械注册证或或医疗器械备案凭证；（2）供应商为制造厂家应出具医疗器械生产许可证或医疗器械生产备案凭证（投标产品须在其生产范围内）、投标产品属于医疗设备的提供医疗器械注册证或医疗器械备案凭证。</w:t>
      </w:r>
    </w:p>
    <w:p>
      <w:pPr>
        <w:pStyle w:val="null3"/>
      </w:pPr>
      <w:r>
        <w:rPr>
          <w:rFonts w:ascii="仿宋_GB2312" w:hAnsi="仿宋_GB2312" w:cs="仿宋_GB2312" w:eastAsia="仿宋_GB2312"/>
        </w:rPr>
        <w:t>10、本项目不接受联合体投标，不允许分包：投标供应商应提供《非联合体不分包投标声明》，视为独立投标，不分包。供应商需在项目电子化交易系统中按要求提供相关证明材料并进行电子签章。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陕西省铜川市王益区健康路12号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张嘉衡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15114993921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029-89605595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说明：中标人与采购人签订合同后10日内向采购人缴纳履约保证金，合同签订1年后采购人原账户退回。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联系人：薛梅梅</w:t>
      </w:r>
    </w:p>
    <w:p>
      <w:pPr>
        <w:pStyle w:val="null3"/>
      </w:pPr>
      <w:r>
        <w:rPr>
          <w:rFonts w:ascii="仿宋_GB2312" w:hAnsi="仿宋_GB2312" w:cs="仿宋_GB2312" w:eastAsia="仿宋_GB2312"/>
        </w:rPr>
        <w:t>联系电话：029-89605595</w:t>
      </w:r>
    </w:p>
    <w:p>
      <w:pPr>
        <w:pStyle w:val="null3"/>
      </w:pPr>
      <w:r>
        <w:rPr>
          <w:rFonts w:ascii="仿宋_GB2312" w:hAnsi="仿宋_GB2312" w:cs="仿宋_GB2312" w:eastAsia="仿宋_GB2312"/>
        </w:rPr>
        <w:t>地址：西安市经济开发区凤城七路长和国际D座26楼</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中西医协同旗舰科室服务能力提升医疗设备采购，合计采购6项，详见项目采购需求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超声药物熏洗治疗机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激光坐浴机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多波段光谱治疗仪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结肠途径治疗仪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中药贴标包装机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十功能自动煎药机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标的名称：超声药物熏洗治疗机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1.输入功率：2000VA</w:t>
            </w:r>
            <w:r>
              <w:br/>
            </w:r>
            <w:r>
              <w:rPr>
                <w:rFonts w:ascii="仿宋_GB2312" w:hAnsi="仿宋_GB2312" w:cs="仿宋_GB2312" w:eastAsia="仿宋_GB2312"/>
              </w:rPr>
              <w:t xml:space="preserve"> 2、治疗仪的雾化量：≥125ml/h</w:t>
            </w:r>
            <w:r>
              <w:br/>
            </w:r>
            <w:r>
              <w:rPr>
                <w:rFonts w:ascii="仿宋_GB2312" w:hAnsi="仿宋_GB2312" w:cs="仿宋_GB2312" w:eastAsia="仿宋_GB2312"/>
              </w:rPr>
              <w:t xml:space="preserve"> 3、治疗仪的冲洗量：600ml/min±10％；</w:t>
            </w:r>
            <w:r>
              <w:br/>
            </w:r>
            <w:r>
              <w:rPr>
                <w:rFonts w:ascii="仿宋_GB2312" w:hAnsi="仿宋_GB2312" w:cs="仿宋_GB2312" w:eastAsia="仿宋_GB2312"/>
              </w:rPr>
              <w:t xml:space="preserve"> 4、治疗仪的冲洗水温度：40℃±3℃；</w:t>
            </w:r>
            <w:r>
              <w:br/>
            </w:r>
            <w:r>
              <w:rPr>
                <w:rFonts w:ascii="仿宋_GB2312" w:hAnsi="仿宋_GB2312" w:cs="仿宋_GB2312" w:eastAsia="仿宋_GB2312"/>
              </w:rPr>
              <w:t xml:space="preserve"> 5、治疗仪的烘干温度：≤45℃；</w:t>
            </w:r>
            <w:r>
              <w:br/>
            </w:r>
            <w:r>
              <w:rPr>
                <w:rFonts w:ascii="仿宋_GB2312" w:hAnsi="仿宋_GB2312" w:cs="仿宋_GB2312" w:eastAsia="仿宋_GB2312"/>
              </w:rPr>
              <w:t xml:space="preserve"> 6、治疗仪的臭氧水浓度：0.3mg/L～0.8mg/L；</w:t>
            </w:r>
            <w:r>
              <w:br/>
            </w:r>
            <w:r>
              <w:rPr>
                <w:rFonts w:ascii="仿宋_GB2312" w:hAnsi="仿宋_GB2312" w:cs="仿宋_GB2312" w:eastAsia="仿宋_GB2312"/>
              </w:rPr>
              <w:t xml:space="preserve"> 7、治疗仪的功能：超声雾化、中药熏蒸、自动冲洗、自动烘干、臭氧灭菌；</w:t>
            </w:r>
            <w:r>
              <w:br/>
            </w:r>
            <w:r>
              <w:rPr>
                <w:rFonts w:ascii="仿宋_GB2312" w:hAnsi="仿宋_GB2312" w:cs="仿宋_GB2312" w:eastAsia="仿宋_GB2312"/>
              </w:rPr>
              <w:t xml:space="preserve"> 8、治疗仪的工作模式：治疗仪具有手动模式、自动模式；</w:t>
            </w:r>
            <w:r>
              <w:br/>
            </w:r>
            <w:r>
              <w:rPr>
                <w:rFonts w:ascii="仿宋_GB2312" w:hAnsi="仿宋_GB2312" w:cs="仿宋_GB2312" w:eastAsia="仿宋_GB2312"/>
              </w:rPr>
              <w:t xml:space="preserve"> 9、治疗仪的定时时间：手动模式治疗时间：1min～99min，误差为±10%，随时启动，随时停止；</w:t>
            </w:r>
            <w:r>
              <w:br/>
            </w:r>
            <w:r>
              <w:rPr>
                <w:rFonts w:ascii="仿宋_GB2312" w:hAnsi="仿宋_GB2312" w:cs="仿宋_GB2312" w:eastAsia="仿宋_GB2312"/>
              </w:rPr>
              <w:t xml:space="preserve"> 10、自动模式定时时间有倒计时功能：熏洗1min～30min，冲洗1min～5min，烘干1min～5min；</w:t>
            </w:r>
            <w:r>
              <w:br/>
            </w:r>
            <w:r>
              <w:rPr>
                <w:rFonts w:ascii="仿宋_GB2312" w:hAnsi="仿宋_GB2312" w:cs="仿宋_GB2312" w:eastAsia="仿宋_GB2312"/>
              </w:rPr>
              <w:t xml:space="preserve"> 11、包含内嵌型软件组件控制/驱动仪器硬件，并提供对应有效的《计算机软件著作权登记证书》</w:t>
            </w:r>
          </w:p>
        </w:tc>
      </w:tr>
    </w:tbl>
    <w:p>
      <w:pPr>
        <w:pStyle w:val="null3"/>
      </w:pPr>
      <w:r>
        <w:rPr>
          <w:rFonts w:ascii="仿宋_GB2312" w:hAnsi="仿宋_GB2312" w:cs="仿宋_GB2312" w:eastAsia="仿宋_GB2312"/>
        </w:rPr>
        <w:t>标的名称：激光坐浴机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1.工作电压:~220V/50Hz，稳定供电，保障设备运行。</w:t>
            </w:r>
          </w:p>
          <w:p>
            <w:pPr>
              <w:pStyle w:val="null3"/>
              <w:jc w:val="both"/>
            </w:pPr>
            <w:r>
              <w:rPr>
                <w:rFonts w:ascii="仿宋_GB2312" w:hAnsi="仿宋_GB2312" w:cs="仿宋_GB2312" w:eastAsia="仿宋_GB2312"/>
                <w:sz w:val="21"/>
              </w:rPr>
              <w:t>2.具有安全保护；</w:t>
            </w:r>
          </w:p>
          <w:p>
            <w:pPr>
              <w:pStyle w:val="null3"/>
              <w:jc w:val="both"/>
            </w:pPr>
            <w:r>
              <w:rPr>
                <w:rFonts w:ascii="仿宋_GB2312" w:hAnsi="仿宋_GB2312" w:cs="仿宋_GB2312" w:eastAsia="仿宋_GB2312"/>
                <w:sz w:val="21"/>
              </w:rPr>
              <w:t>3.额定输入功率≥1800W；</w:t>
            </w:r>
          </w:p>
          <w:p>
            <w:pPr>
              <w:pStyle w:val="null3"/>
              <w:jc w:val="both"/>
            </w:pPr>
            <w:r>
              <w:rPr>
                <w:rFonts w:ascii="仿宋_GB2312" w:hAnsi="仿宋_GB2312" w:cs="仿宋_GB2312" w:eastAsia="仿宋_GB2312"/>
                <w:sz w:val="21"/>
              </w:rPr>
              <w:t>4.温度可调节，热风温度最高不超过55℃，满足不同热疗温度需求；</w:t>
            </w:r>
          </w:p>
          <w:p>
            <w:pPr>
              <w:pStyle w:val="null3"/>
              <w:jc w:val="both"/>
            </w:pPr>
            <w:r>
              <w:rPr>
                <w:rFonts w:ascii="仿宋_GB2312" w:hAnsi="仿宋_GB2312" w:cs="仿宋_GB2312" w:eastAsia="仿宋_GB2312"/>
                <w:sz w:val="21"/>
              </w:rPr>
              <w:t>5.具有热烘干功能，提升使用便利性。</w:t>
            </w:r>
          </w:p>
        </w:tc>
      </w:tr>
    </w:tbl>
    <w:p>
      <w:pPr>
        <w:pStyle w:val="null3"/>
      </w:pPr>
      <w:r>
        <w:rPr>
          <w:rFonts w:ascii="仿宋_GB2312" w:hAnsi="仿宋_GB2312" w:cs="仿宋_GB2312" w:eastAsia="仿宋_GB2312"/>
        </w:rPr>
        <w:t>标的名称：多波段光谱治疗仪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多波段光谱治疗仪（光谱治疗仪）</w:t>
            </w:r>
          </w:p>
          <w:p>
            <w:pPr>
              <w:pStyle w:val="null3"/>
            </w:pPr>
            <w:r>
              <w:rPr>
                <w:rFonts w:ascii="仿宋_GB2312" w:hAnsi="仿宋_GB2312" w:cs="仿宋_GB2312" w:eastAsia="仿宋_GB2312"/>
              </w:rPr>
              <w:t>1.峰值波长：（紫外线）310±20nm；（红光）大于630 nm；（红外线）大于940nm</w:t>
            </w:r>
            <w:r>
              <w:br/>
            </w:r>
            <w:r>
              <w:rPr>
                <w:rFonts w:ascii="仿宋_GB2312" w:hAnsi="仿宋_GB2312" w:cs="仿宋_GB2312" w:eastAsia="仿宋_GB2312"/>
              </w:rPr>
              <w:t xml:space="preserve"> 定时：设定40min以内任选。开机设定时间为20min。定时具有蜂鸣报警提示，且治疗仪同时自动停止工作。</w:t>
            </w:r>
            <w:r>
              <w:br/>
            </w:r>
            <w:r>
              <w:rPr>
                <w:rFonts w:ascii="仿宋_GB2312" w:hAnsi="仿宋_GB2312" w:cs="仿宋_GB2312" w:eastAsia="仿宋_GB2312"/>
              </w:rPr>
              <w:t xml:space="preserve"> 2.电源：220V±22V，50Hz±1Hz单翼辐照强度 及误差：（紫外线）100±20% μW/cm²</w:t>
            </w:r>
            <w:r>
              <w:br/>
            </w:r>
            <w:r>
              <w:rPr>
                <w:rFonts w:ascii="仿宋_GB2312" w:hAnsi="仿宋_GB2312" w:cs="仿宋_GB2312" w:eastAsia="仿宋_GB2312"/>
              </w:rPr>
              <w:t xml:space="preserve"> 单颗光功率:（红光）≥1mW；（红外线）≥1mW</w:t>
            </w:r>
            <w:r>
              <w:br/>
            </w:r>
            <w:r>
              <w:rPr>
                <w:rFonts w:ascii="仿宋_GB2312" w:hAnsi="仿宋_GB2312" w:cs="仿宋_GB2312" w:eastAsia="仿宋_GB2312"/>
              </w:rPr>
              <w:t xml:space="preserve"> 3.灯距人体的距离:≤10mm</w:t>
            </w:r>
            <w:r>
              <w:br/>
            </w:r>
            <w:r>
              <w:rPr>
                <w:rFonts w:ascii="仿宋_GB2312" w:hAnsi="仿宋_GB2312" w:cs="仿宋_GB2312" w:eastAsia="仿宋_GB2312"/>
              </w:rPr>
              <w:t xml:space="preserve"> 单颗光功率:（红光）≥1mW；（红外线）≥1mW                                                      </w:t>
            </w:r>
          </w:p>
          <w:p>
            <w:pPr>
              <w:pStyle w:val="null3"/>
            </w:pPr>
            <w:r>
              <w:rPr>
                <w:rFonts w:ascii="仿宋_GB2312" w:hAnsi="仿宋_GB2312" w:cs="仿宋_GB2312" w:eastAsia="仿宋_GB2312"/>
              </w:rPr>
              <w:t xml:space="preserve"> 4.彩色液晶触摸屏显示</w:t>
            </w:r>
            <w:r>
              <w:br/>
            </w:r>
            <w:r>
              <w:rPr>
                <w:rFonts w:ascii="仿宋_GB2312" w:hAnsi="仿宋_GB2312" w:cs="仿宋_GB2312" w:eastAsia="仿宋_GB2312"/>
              </w:rPr>
              <w:t xml:space="preserve"> 5.治疗头垂直高度调节：0cm～140cm</w:t>
            </w:r>
            <w:r>
              <w:br/>
            </w:r>
            <w:r>
              <w:rPr>
                <w:rFonts w:ascii="仿宋_GB2312" w:hAnsi="仿宋_GB2312" w:cs="仿宋_GB2312" w:eastAsia="仿宋_GB2312"/>
              </w:rPr>
              <w:t xml:space="preserve"> 6.支臂/架伸展范围：0mm～900mm                                                      </w:t>
            </w:r>
          </w:p>
          <w:p>
            <w:pPr>
              <w:pStyle w:val="null3"/>
            </w:pPr>
            <w:r>
              <w:rPr>
                <w:rFonts w:ascii="仿宋_GB2312" w:hAnsi="仿宋_GB2312" w:cs="仿宋_GB2312" w:eastAsia="仿宋_GB2312"/>
              </w:rPr>
              <w:t xml:space="preserve"> 7.灯距人体的距离:≤10mm</w:t>
            </w:r>
            <w:r>
              <w:br/>
            </w:r>
            <w:r>
              <w:rPr>
                <w:rFonts w:ascii="仿宋_GB2312" w:hAnsi="仿宋_GB2312" w:cs="仿宋_GB2312" w:eastAsia="仿宋_GB2312"/>
              </w:rPr>
              <w:t xml:space="preserve"> 8.治疗仪防护罩表面温度：≤60℃</w:t>
            </w:r>
            <w:r>
              <w:br/>
            </w:r>
            <w:r>
              <w:rPr>
                <w:rFonts w:ascii="仿宋_GB2312" w:hAnsi="仿宋_GB2312" w:cs="仿宋_GB2312" w:eastAsia="仿宋_GB2312"/>
              </w:rPr>
              <w:t xml:space="preserve"> 9.相对湿度：≤80%</w:t>
            </w:r>
            <w:r>
              <w:br/>
            </w:r>
            <w:r>
              <w:rPr>
                <w:rFonts w:ascii="仿宋_GB2312" w:hAnsi="仿宋_GB2312" w:cs="仿宋_GB2312" w:eastAsia="仿宋_GB2312"/>
              </w:rPr>
              <w:t xml:space="preserve"> 10.环境温度：0℃～40℃       </w:t>
            </w:r>
          </w:p>
        </w:tc>
      </w:tr>
    </w:tbl>
    <w:p>
      <w:pPr>
        <w:pStyle w:val="null3"/>
      </w:pPr>
      <w:r>
        <w:rPr>
          <w:rFonts w:ascii="仿宋_GB2312" w:hAnsi="仿宋_GB2312" w:cs="仿宋_GB2312" w:eastAsia="仿宋_GB2312"/>
        </w:rPr>
        <w:t>标的名称：结肠途径治疗仪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1、控温范围和测量精度：35°C~40°C；测温误差不大于士0.5°C；</w:t>
            </w:r>
            <w:r>
              <w:br/>
            </w:r>
            <w:r>
              <w:rPr>
                <w:rFonts w:ascii="仿宋_GB2312" w:hAnsi="仿宋_GB2312" w:cs="仿宋_GB2312" w:eastAsia="仿宋_GB2312"/>
              </w:rPr>
              <w:t xml:space="preserve"> 2、连续工作时间治疗机连续工作时间不小于 6h；</w:t>
            </w:r>
            <w:r>
              <w:br/>
            </w:r>
            <w:r>
              <w:rPr>
                <w:rFonts w:ascii="仿宋_GB2312" w:hAnsi="仿宋_GB2312" w:cs="仿宋_GB2312" w:eastAsia="仿宋_GB2312"/>
              </w:rPr>
              <w:t xml:space="preserve"> 3、报警功能：设备发生如下情况，将进行报警：</w:t>
            </w:r>
            <w:r>
              <w:br/>
            </w:r>
            <w:r>
              <w:rPr>
                <w:rFonts w:ascii="仿宋_GB2312" w:hAnsi="仿宋_GB2312" w:cs="仿宋_GB2312" w:eastAsia="仿宋_GB2312"/>
              </w:rPr>
              <w:t xml:space="preserve"> a）超预定温度报警；b）阻塞报警；c）液尽报警</w:t>
            </w:r>
            <w:r>
              <w:br/>
            </w:r>
            <w:r>
              <w:rPr>
                <w:rFonts w:ascii="仿宋_GB2312" w:hAnsi="仿宋_GB2312" w:cs="仿宋_GB2312" w:eastAsia="仿宋_GB2312"/>
              </w:rPr>
              <w:t xml:space="preserve"> 发生上述报警后，设备应自动停止治疗；</w:t>
            </w:r>
            <w:r>
              <w:br/>
            </w:r>
            <w:r>
              <w:rPr>
                <w:rFonts w:ascii="仿宋_GB2312" w:hAnsi="仿宋_GB2312" w:cs="仿宋_GB2312" w:eastAsia="仿宋_GB2312"/>
              </w:rPr>
              <w:t xml:space="preserve"> 5、软件功能：具备温度、总液量、灌注量、储液量参数的实时显示；以及治疗阶段逐步提示培训功能；</w:t>
            </w:r>
            <w:r>
              <w:br/>
            </w:r>
            <w:r>
              <w:rPr>
                <w:rFonts w:ascii="仿宋_GB2312" w:hAnsi="仿宋_GB2312" w:cs="仿宋_GB2312" w:eastAsia="仿宋_GB2312"/>
              </w:rPr>
              <w:t xml:space="preserve"> 6、水处理装置，出水口水质应达到饮用水标准；</w:t>
            </w:r>
            <w:r>
              <w:br/>
            </w:r>
            <w:r>
              <w:rPr>
                <w:rFonts w:ascii="仿宋_GB2312" w:hAnsi="仿宋_GB2312" w:cs="仿宋_GB2312" w:eastAsia="仿宋_GB2312"/>
              </w:rPr>
              <w:t xml:space="preserve"> 7、噪声治疗机正常工作的噪声≤65dB；</w:t>
            </w:r>
          </w:p>
        </w:tc>
      </w:tr>
    </w:tbl>
    <w:p>
      <w:pPr>
        <w:pStyle w:val="null3"/>
      </w:pPr>
      <w:r>
        <w:rPr>
          <w:rFonts w:ascii="仿宋_GB2312" w:hAnsi="仿宋_GB2312" w:cs="仿宋_GB2312" w:eastAsia="仿宋_GB2312"/>
        </w:rPr>
        <w:t>标的名称：中药贴标包装机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1、容量：20000ml </w:t>
            </w:r>
            <w:r>
              <w:br/>
            </w:r>
            <w:r>
              <w:rPr>
                <w:rFonts w:ascii="仿宋_GB2312" w:hAnsi="仿宋_GB2312" w:cs="仿宋_GB2312" w:eastAsia="仿宋_GB2312"/>
              </w:rPr>
              <w:t xml:space="preserve"> 2、功率：≥2500W</w:t>
            </w:r>
            <w:r>
              <w:br/>
            </w:r>
            <w:r>
              <w:rPr>
                <w:rFonts w:ascii="仿宋_GB2312" w:hAnsi="仿宋_GB2312" w:cs="仿宋_GB2312" w:eastAsia="仿宋_GB2312"/>
              </w:rPr>
              <w:t xml:space="preserve"> 3、自动包装，卫生健康，保质期长，易于携带，服用方便。</w:t>
            </w:r>
            <w:r>
              <w:br/>
            </w:r>
            <w:r>
              <w:rPr>
                <w:rFonts w:ascii="仿宋_GB2312" w:hAnsi="仿宋_GB2312" w:cs="仿宋_GB2312" w:eastAsia="仿宋_GB2312"/>
              </w:rPr>
              <w:t xml:space="preserve"> 4、具有药液快速加热及浓缩功能；</w:t>
            </w:r>
            <w:r>
              <w:br/>
            </w:r>
            <w:r>
              <w:rPr>
                <w:rFonts w:ascii="仿宋_GB2312" w:hAnsi="仿宋_GB2312" w:cs="仿宋_GB2312" w:eastAsia="仿宋_GB2312"/>
              </w:rPr>
              <w:t xml:space="preserve"> 5、触摸屏操作、包装温度、包装量自动显示。</w:t>
            </w:r>
            <w:r>
              <w:br/>
            </w:r>
            <w:r>
              <w:rPr>
                <w:rFonts w:ascii="仿宋_GB2312" w:hAnsi="仿宋_GB2312" w:cs="仿宋_GB2312" w:eastAsia="仿宋_GB2312"/>
              </w:rPr>
              <w:t xml:space="preserve"> 6、具备联网通讯功能。可实现煎药单数据传输等通讯协议，并支持包数、包装量通讯协议的自动设置、自动完成客户信息打印，自动取标、自动贴标。</w:t>
            </w:r>
            <w:r>
              <w:br/>
            </w:r>
            <w:r>
              <w:rPr>
                <w:rFonts w:ascii="仿宋_GB2312" w:hAnsi="仿宋_GB2312" w:cs="仿宋_GB2312" w:eastAsia="仿宋_GB2312"/>
              </w:rPr>
              <w:t xml:space="preserve"> 7、包装量为50-250ML。</w:t>
            </w:r>
            <w:r>
              <w:br/>
            </w:r>
            <w:r>
              <w:rPr>
                <w:rFonts w:ascii="仿宋_GB2312" w:hAnsi="仿宋_GB2312" w:cs="仿宋_GB2312" w:eastAsia="仿宋_GB2312"/>
              </w:rPr>
              <w:t xml:space="preserve"> 8、包装平均速度≥8袋/分。</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标的名称：十功能自动煎药机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1、电压：AC220V</w:t>
            </w:r>
            <w:r>
              <w:br/>
            </w:r>
            <w:r>
              <w:rPr>
                <w:rFonts w:ascii="仿宋_GB2312" w:hAnsi="仿宋_GB2312" w:cs="仿宋_GB2312" w:eastAsia="仿宋_GB2312"/>
              </w:rPr>
              <w:t xml:space="preserve"> 2、功率：≥1900W </w:t>
            </w:r>
            <w:r>
              <w:br/>
            </w:r>
            <w:r>
              <w:rPr>
                <w:rFonts w:ascii="仿宋_GB2312" w:hAnsi="仿宋_GB2312" w:cs="仿宋_GB2312" w:eastAsia="仿宋_GB2312"/>
              </w:rPr>
              <w:t xml:space="preserve"> 3、容量：≥20000ml </w:t>
            </w:r>
            <w:r>
              <w:br/>
            </w:r>
            <w:r>
              <w:rPr>
                <w:rFonts w:ascii="仿宋_GB2312" w:hAnsi="仿宋_GB2312" w:cs="仿宋_GB2312" w:eastAsia="仿宋_GB2312"/>
              </w:rPr>
              <w:t xml:space="preserve"> 4、符合《中药煎药机国家标准》的相关要求。煎药效果有效成份煎出率不小于50% </w:t>
            </w:r>
            <w:r>
              <w:br/>
            </w:r>
            <w:r>
              <w:rPr>
                <w:rFonts w:ascii="仿宋_GB2312" w:hAnsi="仿宋_GB2312" w:cs="仿宋_GB2312" w:eastAsia="仿宋_GB2312"/>
              </w:rPr>
              <w:t xml:space="preserve"> 5、具备联网通讯功能。可支持通讯协议自动设置及实现煎药单据传输等通讯协议（联网选配）； </w:t>
            </w:r>
            <w:r>
              <w:br/>
            </w:r>
            <w:r>
              <w:rPr>
                <w:rFonts w:ascii="仿宋_GB2312" w:hAnsi="仿宋_GB2312" w:cs="仿宋_GB2312" w:eastAsia="仿宋_GB2312"/>
              </w:rPr>
              <w:t xml:space="preserve"> 6、采用安全、方便、快捷的一键式滑盖锁紧装置；                                                          </w:t>
            </w:r>
          </w:p>
          <w:p>
            <w:pPr>
              <w:pStyle w:val="null3"/>
            </w:pPr>
            <w:r>
              <w:rPr>
                <w:rFonts w:ascii="仿宋_GB2312" w:hAnsi="仿宋_GB2312" w:cs="仿宋_GB2312" w:eastAsia="仿宋_GB2312"/>
              </w:rPr>
              <w:t xml:space="preserve">7、可实现密闭煎药功能，避免特殊成分挥发； </w:t>
            </w:r>
            <w:r>
              <w:br/>
            </w:r>
            <w:r>
              <w:rPr>
                <w:rFonts w:ascii="仿宋_GB2312" w:hAnsi="仿宋_GB2312" w:cs="仿宋_GB2312" w:eastAsia="仿宋_GB2312"/>
              </w:rPr>
              <w:t xml:space="preserve"> 8、采用安全、卫生、自下往上、双滑道定位的电动机械挤压系统，实现药渣分离； </w:t>
            </w:r>
            <w:r>
              <w:br/>
            </w:r>
            <w:r>
              <w:rPr>
                <w:rFonts w:ascii="仿宋_GB2312" w:hAnsi="仿宋_GB2312" w:cs="仿宋_GB2312" w:eastAsia="仿宋_GB2312"/>
              </w:rPr>
              <w:t xml:space="preserve"> 9、具有防温度过高和防干烧功能，计时、定时设定控制功能； </w:t>
            </w:r>
            <w:r>
              <w:br/>
            </w:r>
            <w:r>
              <w:rPr>
                <w:rFonts w:ascii="仿宋_GB2312" w:hAnsi="仿宋_GB2312" w:cs="仿宋_GB2312" w:eastAsia="仿宋_GB2312"/>
              </w:rPr>
              <w:t xml:space="preserve"> 10、具有文火、武火自动转换； </w:t>
            </w:r>
            <w:r>
              <w:br/>
            </w:r>
            <w:r>
              <w:rPr>
                <w:rFonts w:ascii="仿宋_GB2312" w:hAnsi="仿宋_GB2312" w:cs="仿宋_GB2312" w:eastAsia="仿宋_GB2312"/>
              </w:rPr>
              <w:t xml:space="preserve"> 11、具有安全卸压阀，双安全阀超压自动报警，自动卸压自动闭合； </w:t>
            </w:r>
            <w:r>
              <w:br/>
            </w:r>
            <w:r>
              <w:rPr>
                <w:rFonts w:ascii="仿宋_GB2312" w:hAnsi="仿宋_GB2312" w:cs="仿宋_GB2312" w:eastAsia="仿宋_GB2312"/>
              </w:rPr>
              <w:t xml:space="preserve"> 12、可配备单体包装机；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到货现场安装调验收合格后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 3、验收依据：合同文本、合同附件、招标文件、投标文件、国内相应的标准、规范。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2- 1、如乙方事先未征得甲方同意并得到 甲方的谅解而单方面延迟执行合同，每延误一天的赔偿费按合同金额的百分之零点五 （0.5%）计收。误期赔偿费的最高限额 为合同价格的百分之五（5%）。一旦达到误期赔偿费的最高限额，甲方可终止合 同。 2-2、在履行合同过程中，如果乙方遇 到可能妨碍按时提供产品服务的情况，应及时以书面形式将拖延的事实，可能拖 延的期限和理由通知甲方。甲方在收到乙方通 知后，应尽快对情况进行评价，并确定是否通过修改合同，酌情延长服务时间 -第14页- 或对乙方加收误期赔偿金。每延误一周的赔偿费 按合同金额的百分之零点五（0.5%）计收，直至提供服务为止。误期赔偿费 的最高限额为合同价格的百分之五（5%）。一 旦达到误期赔偿费的最高限额，甲方可终止合同。 3、违约终止合同：未按合 同要求提供相应数量产品服务或不能满足技术要 求以及不合格产品等违约行为，甲方会同监督机构有权终止合同，对乙方违 约行为进行追究，乙方须退回甲方前期支付的费 用，同时支付合同金额5%的赔偿金，不足以弥补损失的，据实增加赔偿金 额，并按政府采购法的有关规定进行相应的处罚。 4、本合同履行过程中，如因乙方违约，甲方提起诉讼的，乙方应当承担甲 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医疗器械生产或经营资质证明</w:t>
            </w:r>
          </w:p>
        </w:tc>
        <w:tc>
          <w:tcPr>
            <w:tcW w:type="dxa" w:w="3322"/>
          </w:tcPr>
          <w:p>
            <w:pPr>
              <w:pStyle w:val="null3"/>
            </w:pPr>
            <w:r>
              <w:rPr>
                <w:rFonts w:ascii="仿宋_GB2312" w:hAnsi="仿宋_GB2312" w:cs="仿宋_GB2312" w:eastAsia="仿宋_GB2312"/>
              </w:rPr>
              <w:t>投标产品中如有医疗器械，投标供应商须具备以下资质要求：（1）供应商为经销商的应出具医疗器械经营许可证或医疗器械经营备案凭证（投标产品须在其经营范围内），投标产品属于医疗设备的提供医疗器械注册证或或医疗器械备案凭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合同签订后30日</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合同履约地点</w:t>
            </w:r>
          </w:p>
        </w:tc>
        <w:tc>
          <w:tcPr>
            <w:tcW w:type="dxa" w:w="3322"/>
          </w:tcPr>
          <w:p>
            <w:pPr>
              <w:pStyle w:val="null3"/>
            </w:pPr>
            <w:r>
              <w:rPr>
                <w:rFonts w:ascii="仿宋_GB2312" w:hAnsi="仿宋_GB2312" w:cs="仿宋_GB2312" w:eastAsia="仿宋_GB2312"/>
              </w:rPr>
              <w:t>铜川市人民医院指定地点</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投标产品品目、数量符合采购文件的要求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供应商如有法律、法规和招标文件规定的其他无效情形，按无效投标处理</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产品的技术参数与招标文件技术参数比较，根据响应情况赋分。完全满足招标文件要求，计30分；参数一项不满足扣1分，扣完为止。 注：供应商提供证明材料包含但不限于（投标产品技术白皮书、使用说明书、生产厂商公开发布的产品彩页、检测报告等作为技术条款的证明文件），自拟的证明材料无效。提供产品技术手册、样本、产品白皮书的，至少包括封面、目录、所用的参数页；提供宣传册/页的，应能显示产品制造商/品牌名称、产品规格型号；否则视为无效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供货方案中产品来源清晰可靠，生产备货计划详细，进度计划明确，资金调配保障有效；实施方案全面、详细、安全保障措施具体等；以上内容完整、内容详实、可行性、针对性强计4-6分，以上内容存在1处瑕疵计3分； 以上内容存在2处及以上瑕疵计2分；未提供，或存在3处及以上瑕疵，或非专门针对本项目或不适用本项目特性、套用其他项目内容的，计0分。 2、运输方案（不限于运输工具、路线规划、设备装卸等）全面、详细，安全保障措施具体；以上内容完整、内容详实、可行性、针对性强3-5分，以上内容存在1处瑕疵计2分；以上内容存在2处瑕疵计1分；未提供，或存在3处及以上瑕疵，或非专门针对本项目或不适用本项目特性、套用其他项目内容的，计0分。 3.应急预案充分，对配送阶段易发生和可能发生的问题能提供针对性的措施和预案，能有效的保证供货的可靠性和时限性。 以上内容完整、内容详实、可行性、针对性强，计4分； 以上内容存在1处瑕疵计2分； 3以上内容存在2处瑕疵计1分； 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投标人需提供安装调试方案，方案包括但不限于：①人员投入②设备吊装、转运③安装技术标准及措施④调试等。 安装调试方案中人员投入具体且具备相应的技术能力和经验，分工明确，责任明晰；设备吊装、转运规划详细，投入机具具体，安全措施完善；安装技术标准明确，流程清晰、措施规范，能保证设备处于正常的工况；调试流程清晰，标准和目标明确，检测仪器齐全，能保证设备达到正常使用及交付状态。 1.以上内容完整、内容详实、可行性、针对性强，计7分； 2.以上内容存在1处瑕疵计4分； 3.以上内容存在2处瑕疵计2分；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投标人需提供售后服务方案，方案包括但不限于：①质保期；②服务内容（不限于服务体系、人员配置、故障解决方案、保养方案、定期巡检方案、系统升级等）。 1.在基础质保期基础上，每增加6个月得1分，最高2分。 2.服务体系应健全，服务内容完善，服务细则详细，人员配置具体，分工明确，满足本项目采购需求，能有效的保障设备长生命周期运行。 （1）以上内容完整、内容详实、可行性、针对性强，计4分；（2）存在1处及以上瑕疵计2分 （3）未提供，或存在1处及以上瑕疵，或非专门针对本项目或不适用本项目特性、套用其他项目内容的，计0分。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补充说明.pdf</w:t>
            </w:r>
          </w:p>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投标人需提供培训方案，方案包括但不限于：①培训内容②培训人员投入③培训方式等。 培训内容详细，培训资料完整，培训计划安排清晰，针对性强；培训人员配置合理，经验丰富，分工明确；培训方式具体，培训地点明确。 1.以上内容完整、内容详实、可行性、针对性强，计4分； 2.以上内容存在1处瑕疵计2分；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每提供1件节能环保标志产品得0.5分，最高2分。注：需提供证明材料。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投标人每提供一份2022年1月1日至今类型项目供货业绩计2分，满分6分。注：①业绩以合同为准，时间以合同签订时间为准。②需提供完整合同复印件。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详见附件：补充说明.pdf</w:t>
      </w:r>
    </w:p>
    <w:p>
      <w:pPr>
        <w:pStyle w:val="null3"/>
        <w:ind w:firstLine="960"/>
      </w:pPr>
      <w:r>
        <w:rPr>
          <w:rFonts w:ascii="仿宋_GB2312" w:hAnsi="仿宋_GB2312" w:cs="仿宋_GB2312" w:eastAsia="仿宋_GB2312"/>
        </w:rPr>
        <w:t>详见附件：类似项目业绩.pdf</w:t>
      </w:r>
    </w:p>
    <w:p>
      <w:pPr>
        <w:pStyle w:val="null3"/>
        <w:ind w:firstLine="960"/>
      </w:pPr>
      <w:r>
        <w:rPr>
          <w:rFonts w:ascii="仿宋_GB2312" w:hAnsi="仿宋_GB2312" w:cs="仿宋_GB2312" w:eastAsia="仿宋_GB2312"/>
        </w:rPr>
        <w:t>详见附件：实施方案.pdf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详见附件：政府采购合同9.1.docx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