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版本号：JZDCG-2025-03420250901001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社会福利院供养人员餐厅食材供应配送服务采购项目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JZDCG-2025-034</w:t>
      </w:r>
      <w:r>
        <w:br/>
      </w:r>
      <w:r>
        <w:br/>
      </w:r>
      <w:r>
        <w:br/>
      </w:r>
    </w:p>
    <w:p>
      <w:pPr>
        <w:pStyle w:val="null3"/>
        <w:jc w:val="center"/>
        <w:outlineLvl w:val="2"/>
      </w:pPr>
      <w:r>
        <w:rPr>
          <w:rFonts w:ascii="仿宋_GB2312" w:hAnsi="仿宋_GB2312" w:cs="仿宋_GB2312" w:eastAsia="仿宋_GB2312"/>
          <w:sz w:val="28"/>
          <w:b/>
        </w:rPr>
        <w:t>铜川市社会福利院</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铜川市社会福利院</w:t>
      </w:r>
      <w:r>
        <w:rPr>
          <w:rFonts w:ascii="仿宋_GB2312" w:hAnsi="仿宋_GB2312" w:cs="仿宋_GB2312" w:eastAsia="仿宋_GB2312"/>
        </w:rPr>
        <w:t>委托，拟对</w:t>
      </w:r>
      <w:r>
        <w:rPr>
          <w:rFonts w:ascii="仿宋_GB2312" w:hAnsi="仿宋_GB2312" w:cs="仿宋_GB2312" w:eastAsia="仿宋_GB2312"/>
        </w:rPr>
        <w:t>社会福利院供养人员餐厅食材供应配送服务采购项目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社会福利院供养人员餐厅食材供应配送服务采购项目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本项目为社会福利院供养人员餐厅食材供应配送服务采购项目，主要采购内容为食材供应配送，具体详见招标文件。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02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3、税收缴纳证明：自2025年02月01日以来已缴存的至少一个月的纳税证明或完税证明，纳税证明或完税证明上应有代收机构或税务机关的公章或业务专用章。依法免税的供应商应提供相关文件证明。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8、资质要求：投标人须提供有效的《食品经营许可证》（主体业态应为“食品销售经营者”）或《仅销售预包装食品经营者备案表》。</w:t>
      </w:r>
    </w:p>
    <w:p>
      <w:pPr>
        <w:pStyle w:val="null3"/>
      </w:pPr>
      <w:r>
        <w:rPr>
          <w:rFonts w:ascii="仿宋_GB2312" w:hAnsi="仿宋_GB2312" w:cs="仿宋_GB2312" w:eastAsia="仿宋_GB2312"/>
        </w:rPr>
        <w:t>9、联合体不得参与：投标人应提供针对本项目投标的非联合体声明。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铜川市新区云辉路2号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铜川市社会福利院经办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15509190611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曹莹、王军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由中标人在领取中标通知书前向采购代理机构支付。 开户名称：陕西金准达项目管理有限责任公司 开户行名称：招商银行西安分行营业部 账 号：129911244910902 注：本项目整体服务期3年，招标代理服务费按照3年计取。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铜川市社会福利院</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铜川市社会福利院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1、中标人配送到指定地点后，应无条件配合采购人对产品进行验收，核对数量，检查食品外观和质量等，并核查每批次检测报告，经检验无误后由采购人和采购人共同签署配送单。 2、验收依据 （1）合同文本及合同补充文件（条款）。（2）招标文件。（3）中标人的投标文件。（4）合同货物清单。（5）其他证明资料。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本项目为社会福利院供养人员餐厅食材供应配送服务采购项目，主要采购内容为食材供应配送，具体详见招标文件。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743,000.00</w:t>
      </w:r>
    </w:p>
    <w:p>
      <w:pPr>
        <w:pStyle w:val="null3"/>
      </w:pPr>
      <w:r>
        <w:rPr>
          <w:rFonts w:ascii="仿宋_GB2312" w:hAnsi="仿宋_GB2312" w:cs="仿宋_GB2312" w:eastAsia="仿宋_GB2312"/>
        </w:rPr>
        <w:t>采购包最高限价（元）: 743,000.00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743000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标的名称：743000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4"/>
              <w:gridCol w:w="276"/>
              <w:gridCol w:w="583"/>
              <w:gridCol w:w="872"/>
              <w:gridCol w:w="294"/>
              <w:gridCol w:w="33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品目</w:t>
                  </w:r>
                </w:p>
                <w:p>
                  <w:pPr>
                    <w:pStyle w:val="null3"/>
                    <w:jc w:val="center"/>
                  </w:pPr>
                  <w:r>
                    <w:rPr>
                      <w:rFonts w:ascii="仿宋_GB2312" w:hAnsi="仿宋_GB2312" w:cs="仿宋_GB2312" w:eastAsia="仿宋_GB2312"/>
                      <w:sz w:val="22"/>
                      <w:b/>
                      <w:color w:val="000000"/>
                    </w:rPr>
                    <w:t>名称</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标的所属行业</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标的名称</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年需求量</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蔬菜</w:t>
                  </w:r>
                </w:p>
              </w:tc>
              <w:tc>
                <w:tcPr>
                  <w:tcW w:type="dxa" w:w="5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农、林、牧、渔</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西兰花</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甘蓝</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3425</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油麦菜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西红柿</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娃娃菜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广茄</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豆王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635</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螺丝椒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豇豆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尖椒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有机菜花</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蒜苔</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洋葱</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圆茄</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1427</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香菇</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大葱</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4627</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平菇</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韭菜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老玉米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冬瓜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小葱</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菠菜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1047</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圆生菜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铁棍山药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贝贝南瓜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芹菜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红萝卜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荷兰豆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芥兰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佛手瓜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红美人椒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海鲜菇</w:t>
                  </w:r>
                  <w:r>
                    <w:rPr>
                      <w:rFonts w:ascii="仿宋_GB2312" w:hAnsi="仿宋_GB2312" w:cs="仿宋_GB2312" w:eastAsia="仿宋_GB2312"/>
                      <w:sz w:val="22"/>
                      <w:color w:val="000000"/>
                    </w:rPr>
                    <w:t>5斤装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白萝卜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西葫芦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水果玉米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莴笋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豆芽</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1407</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莲菜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蒜苗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香菜</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谷物细粉</w:t>
                  </w:r>
                </w:p>
              </w:tc>
              <w:tc>
                <w:tcPr>
                  <w:tcW w:type="dxa" w:w="5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面粉</w:t>
                  </w:r>
                  <w:r>
                    <w:rPr>
                      <w:rFonts w:ascii="仿宋_GB2312" w:hAnsi="仿宋_GB2312" w:cs="仿宋_GB2312" w:eastAsia="仿宋_GB2312"/>
                      <w:sz w:val="22"/>
                      <w:color w:val="000000"/>
                    </w:rPr>
                    <w:t>(特制一等粉）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25kg/袋</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碾磨谷物及谷物加工品</w:t>
                  </w: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大米</w:t>
                  </w:r>
                  <w:r>
                    <w:rPr>
                      <w:rFonts w:ascii="仿宋_GB2312" w:hAnsi="仿宋_GB2312" w:cs="仿宋_GB2312" w:eastAsia="仿宋_GB2312"/>
                      <w:sz w:val="22"/>
                      <w:color w:val="000000"/>
                    </w:rPr>
                    <w:t>(一级粳米）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25kg/袋</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小米（一级）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包谷糁</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江米（特级糯米）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279</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黄豆（特大粒</w:t>
                  </w:r>
                  <w:r>
                    <w:rPr>
                      <w:rFonts w:ascii="仿宋_GB2312" w:hAnsi="仿宋_GB2312" w:cs="仿宋_GB2312" w:eastAsia="仿宋_GB2312"/>
                      <w:sz w:val="22"/>
                      <w:color w:val="000000"/>
                    </w:rPr>
                    <w:t>)</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植物油及其制品</w:t>
                  </w: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压榨二级菜籽油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精炼一级菜籽油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大豆油（一级）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熟肉制品</w:t>
                  </w: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腊牛肉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畜禽肉</w:t>
                  </w:r>
                </w:p>
              </w:tc>
              <w:tc>
                <w:tcPr>
                  <w:tcW w:type="dxa" w:w="5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农、林、牧、渔</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鲜牛肉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精五花肉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1149</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后腿肉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纯瘦肉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精排骨</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羊肉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515</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鸡肉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禽蛋</w:t>
                  </w: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鸡蛋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5342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加工盐</w:t>
                  </w:r>
                </w:p>
              </w:tc>
              <w:tc>
                <w:tcPr>
                  <w:tcW w:type="dxa" w:w="5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盐（</w:t>
                  </w:r>
                  <w:r>
                    <w:rPr>
                      <w:rFonts w:ascii="仿宋_GB2312" w:hAnsi="仿宋_GB2312" w:cs="仿宋_GB2312" w:eastAsia="仿宋_GB2312"/>
                      <w:sz w:val="22"/>
                      <w:color w:val="000000"/>
                    </w:rPr>
                    <w:t>250g)</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调味品</w:t>
                  </w: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料酒（</w:t>
                  </w:r>
                  <w:r>
                    <w:rPr>
                      <w:rFonts w:ascii="仿宋_GB2312" w:hAnsi="仿宋_GB2312" w:cs="仿宋_GB2312" w:eastAsia="仿宋_GB2312"/>
                      <w:sz w:val="22"/>
                      <w:color w:val="000000"/>
                    </w:rPr>
                    <w:t>500ml)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米醋（</w:t>
                  </w:r>
                  <w:r>
                    <w:rPr>
                      <w:rFonts w:ascii="仿宋_GB2312" w:hAnsi="仿宋_GB2312" w:cs="仿宋_GB2312" w:eastAsia="仿宋_GB2312"/>
                      <w:sz w:val="22"/>
                      <w:color w:val="000000"/>
                    </w:rPr>
                    <w:t>5升）</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0添加生抽(500ml)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0添加老抽(500ml)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276"/>
                  <w:vMerge/>
                  <w:tcBorders>
                    <w:top w:val="none" w:color="000000" w:sz="4"/>
                    <w:left w:val="none" w:color="000000" w:sz="4"/>
                    <w:bottom w:val="single" w:color="000000" w:sz="4"/>
                    <w:right w:val="single" w:color="000000" w:sz="4"/>
                  </w:tcBorders>
                </w:tcPr>
                <w:p/>
              </w:tc>
              <w:tc>
                <w:tcPr>
                  <w:tcW w:type="dxa" w:w="583"/>
                  <w:vMerge/>
                  <w:tcBorders>
                    <w:top w:val="none" w:color="000000" w:sz="4"/>
                    <w:left w:val="none" w:color="000000" w:sz="4"/>
                    <w:bottom w:val="single" w:color="000000" w:sz="4"/>
                    <w:right w:val="single" w:color="000000" w:sz="4"/>
                  </w:tcBorders>
                </w:tcP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番茄酱</w:t>
                  </w:r>
                  <w:r>
                    <w:rPr>
                      <w:rFonts w:ascii="仿宋_GB2312" w:hAnsi="仿宋_GB2312" w:cs="仿宋_GB2312" w:eastAsia="仿宋_GB2312"/>
                      <w:sz w:val="22"/>
                      <w:color w:val="000000"/>
                    </w:rPr>
                    <w:t>(850ml)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注：本项目标的名称、标的所属行业以此表描述内容为准。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本项目属于一签多年项目，项目整体服务期3年，合同一年一签订，按每年合同签订期限履行。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合同签订后，每月初10号前支付上月食材供应配送款项，计划12个月平均支付，具体以实际配送数量为准，全年支付金额不高于合同总金额，达到第一个月付款要求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达到第2个月付款要求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达到第3个月付款要求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达到第4个月付款要求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达到第5个月付款要求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达到第6个月付款要求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达到第7个月付款要求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达到第8个月付款要求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达到第9个月付款要求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达到第10个月付款要求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达到第11个月付款要求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达到第12个月付款要求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7.60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1、中标人配送到指定地点后，应无条件配合采购人对产品进行验收，核对数量，检查食品外观和质量等，并核查每批次检测报告，经检验无误后由采购人和采购人共同签署配送单。 2、验收依据 （1）合同文本及合同补充文件（条款）。（2）招标文件。（3）中标人的投标文件。（4）合同货物清单。（5）其他证明资料。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1、食材要求 （1）供应的大米、面粉、食用油、调味品等质量应符合或高于国家标准（GB），产品应独立包装、便于运输、储存，外包装上必须标明生产日期，保质期，执行标准，储存条件，生产厂家，产地等内容。 （2）生鲜蔬菜应新鲜，品质品相良好，已摘除不可食用部分（如烂叶、黄叶、根、须），无泥沙、无杂物，无伤、农药残留符合“GB2763-2021 食品安全国家标准食品中农药最大残留量”要求且检验合格，污染物限量符“GB2762-2017 食品中污染物限量”最新标准。 （3）生鲜肉必须符合《中华人民共和国食品安全法》和相应国家标准，兽药残留应符合国家有关规定和公告，肉品必须加盖有检疫印章和肉品品质专用章，并附有肉品品质合格证明和检疫合格证明。 2、配送要求 （1）按照配送单要求的时间及食材品类进行配送，严禁超量配送，不得出现缺斤少两情况，对于在配送过程中出现的损耗必须无条件更换。 （2）食材出入库记录规范、完整，定期盘点，散装食品要有标签，注明食材名称、生产日期、保质期、生产者名称及联系方式。 （3）配送须用专用厢式货车或冷藏（冻）货车密封运输，运输作业应防止污染，不得与有毒、有害物品同时装运，配送车辆定期清洗、消毒、保持洁净卫生。 （4）配送须由专人配送（有健康证），送货人员应严格执行订货单位各项配送要求。 3、存储要求 （1）存储库房应位于交通便利、无闲杂人员流动的场所，场地平整，具有存储食材所需的设施设备，并保证有专人管理。 （2）食材存储场所要符合要求，离墙离地不少于15cm，通风换气，不放杂物和私人物品。 4、质量保证 （1）首次配送时，须向采购人提供相关预包装食品的《食品生产许可证》及肉类、蛋类产品的《生猪定点屠宰证》和《动物防疫条件合格证》。 （2）每次配送时对照购货清单，确保米、面、油、调料等袋装或瓶装货物必须有合格证，蔬菜必须要有农残检测报告，肉类必须要有“两证一单”（动物产品检疫合格证明、肉品品质检验合格证明、非洲猪瘟检测报告单）。 （3）配送食材的质量必须符合国家有关规范和相关政策，质量优良、渠道正当。 （4）在产品质保期内出现的质量问题由中标人负责解决并承担所有费用。 （5）凡因产品质量问题出现重大安全事故或严重的社会不良影响的，招标人有权停止合同履行并可以针对因质量问题造成的损失进行索赔。 5、本项目整体服务期3年，合同一年一签订，采购人将根据上年度合同履约情况（包含产品质量、配送时效、服务质量等）续签下一年度合同。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02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自2025年02月01日以来已缴存的至少一个月的纳税证明或完税证明，纳税证明或完税证明上应有代收机构或税务机关的公章或业务专用章。依法免税的供应商应提供相关文件证明。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投标人须提供有效的《食品经营许可证》（主体业态应为“食品销售经营者”）或《仅销售预包装食品经营者备案表》。</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商务响应偏离表 投标文件封面 技术参数与性能指标响应偏离表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对招标文件的响应程度。</w:t>
            </w:r>
          </w:p>
        </w:tc>
        <w:tc>
          <w:tcPr>
            <w:tcW w:type="dxa" w:w="1661"/>
          </w:tcPr>
          <w:p>
            <w:pPr>
              <w:pStyle w:val="null3"/>
            </w:pPr>
            <w:r>
              <w:rPr>
                <w:rFonts w:ascii="仿宋_GB2312" w:hAnsi="仿宋_GB2312" w:cs="仿宋_GB2312" w:eastAsia="仿宋_GB2312"/>
              </w:rPr>
              <w:t>商务响应偏离表 投标文件封面 技术参数与性能指标响应偏离表 投标方案说明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货源、采购渠道</w:t>
            </w:r>
          </w:p>
        </w:tc>
        <w:tc>
          <w:tcPr>
            <w:tcW w:type="dxa" w:w="2492"/>
          </w:tcPr>
          <w:p>
            <w:pPr>
              <w:pStyle w:val="null3"/>
            </w:pPr>
            <w:r>
              <w:rPr>
                <w:rFonts w:ascii="仿宋_GB2312" w:hAnsi="仿宋_GB2312" w:cs="仿宋_GB2312" w:eastAsia="仿宋_GB2312"/>
              </w:rPr>
              <w:t>包括但不限于所供产品选材标准、生产许可证、厂家授权、产品检测报告等证明材料。 1、证明资料齐全、内容详细得(8-10]分； 2、证明资料较齐全、内容较详细得(6-8]分； 3、证明资料基本齐全、内容基本详细得(3-6]分； 4、证明资料不齐全、内容不详细得(0-3]分； 5、未提供证明资料不得分。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有符合安全运输标准的运输专用车辆，提供配送车辆自有证明或车辆租赁证明或与第三方配送合作有效协议及车辆行驶证等相关证明材料。 1、每提供1辆配送车辆得1分，本项最高得3分。 2、未提供车辆或未按要求提供车辆相关证明材料不得分。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投标人针对本项目应配备详细的专职人员和配送队伍，需提供人员名单、具体负责工作内容、身份证、健康证或驾驶证。 1、人员配置合理、充足，证件齐全，配送队伍能满足实际需求的，得(4-5]分； 2、人员配置基本合理、充足，证件基本齐全，配送队伍基本满足实际需求的，得(2-4]分； 3、人员配置不够合理，证件不齐全，配送队伍不能满足实际需求的，得(0-2]分。 4、未提供人员及证明材料的不得分。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包括但不限于运输计划、流程控制、食材数量管理、食材种类管理、运输路线、进度控制等。 1、配送方案内容全面、描述详细、针对性可行性强得(6-8]分； 2、配送方案内容比较全面、描述比较详细、针对较性可行性较强得(4-6]分； 3、配送方案内容一般、描述一般、针对性可行性一般得(2-4]分。 4、配送方案内容不全面、描述不详细、针对性可行性不强得(0-2]分。 5、未提供配送方案不得分。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包括但不限于质量承诺、质量管理内容、质量保障措施等。 1、质量保障措施内容全面、描述详细、针对性可行性强得(6-8]分； 2、质量保障措施内容比较全面、描述比较详细、针对较性可行性较强得(4-6]分； 3、质量保障措施内容一般、描述一般、针对性可行性一般得(2-4]分。 4、质量保障措施内容不全面、描述不详细、针对性可行性不强得(0-2]分。 5、未提供质量保障措施不得分。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包括但不限于食材采购、仓储、运输、交付过程中的食品安全保障措施等。 1、食品安全保障措施内容全面、描述详细、针对性可行性强得(6-8]分； 2、食品安全保障措施内容比较全面、描述比较详细、针对较性可行性较强得(4-6]分； 3、食品安全保障措施内容一般、描述一般、针对性可行性一般得(2-4]分。 4、食品安全保障措施内容不全面、描述不详细、针对性可行性不强得(0-2]分。 5、未提供食品安全保障措施不得分。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包括但不限于食材仓储制度、食品卫生和安全制度、食品配送制度、人员管理制度、人员培训制度、财务制度、食品档案管理制度等。 1、管理制度内容全面、描述详细、针对性可行性强得(6-8]分； 2、管理制度内容比较全面、描述比较详细、针对较性可行性较强得(4-6]分； 3、管理制度内容一般、描述一般、针对性可行性一般得(2-4]分。 4、管理制度内容不全面、描述不详细、针对性可行性不强得(0-2]分。 5、未提供管理制度不得分。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包括但不限于采购人临时应急需求、极端恶劣天气及自然灾害、食品安全及卫生等可预见性应急预案。 1、应急预案内容全面、描述详细、针对性可行性强得(6-8]分； 2、应急预案内容比较全面、描述比较详细、针对较性可行性较强得(4-6]分； 3、应急预案内容一般、描述一般、针对性可行性一般得(2-4]分。 4、应急预案内容不全面、描述不详细、针对性可行性不强得(0-2]分。 5、未提供应急预案不得分。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包括但不限于售货服务承诺、售后服务宗旨和理念、售后服务措施、售后服务团队及人员等。 1、售后服务方案内容全面、描述详细、针对性可行性强得(5-6]分； 2、售后服务方案比较全面、描述比较详细、针对较性可行性较强得(3-5]分； 3、售后服务方案一般、描述一般、针对性可行性一般得(2-3]分。 4、售后服务方案不全面、描述不详细、针对性可行性不强得(0-2]分。 5、未提供售后服务方案不得分。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业绩分</w:t>
            </w:r>
          </w:p>
        </w:tc>
        <w:tc>
          <w:tcPr>
            <w:tcW w:type="dxa" w:w="2492"/>
          </w:tcPr>
          <w:p>
            <w:pPr>
              <w:pStyle w:val="null3"/>
            </w:pPr>
            <w:r>
              <w:rPr>
                <w:rFonts w:ascii="仿宋_GB2312" w:hAnsi="仿宋_GB2312" w:cs="仿宋_GB2312" w:eastAsia="仿宋_GB2312"/>
              </w:rPr>
              <w:t>提供2022年1月1日以来类似项目业绩，每份业绩加2分，加满6分为止。 注：证明文件以合同为准，时间以合同签订时间为准；磋商文件中附业绩证明文件复印件并加盖公章，未提供或不清晰导致无法识别的不予认可。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