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版本号：TWZB2025-15520250910001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2025年新区迎国庆氛围营造工程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TWZB2025-155</w:t>
      </w:r>
      <w:r>
        <w:br/>
      </w:r>
      <w:r>
        <w:br/>
      </w:r>
      <w:r>
        <w:br/>
      </w:r>
    </w:p>
    <w:p>
      <w:pPr>
        <w:pStyle w:val="null3"/>
        <w:jc w:val="center"/>
        <w:outlineLvl w:val="2"/>
      </w:pPr>
      <w:r>
        <w:rPr>
          <w:rFonts w:ascii="仿宋_GB2312" w:hAnsi="仿宋_GB2312" w:cs="仿宋_GB2312" w:eastAsia="仿宋_GB2312"/>
          <w:sz w:val="28"/>
          <w:b/>
        </w:rPr>
        <w:t>铜川市城市管理执法局新耀分局</w:t>
      </w:r>
    </w:p>
    <w:p>
      <w:pPr>
        <w:pStyle w:val="null3"/>
        <w:jc w:val="center"/>
        <w:outlineLvl w:val="2"/>
      </w:pPr>
      <w:r>
        <w:rPr>
          <w:rFonts w:ascii="仿宋_GB2312" w:hAnsi="仿宋_GB2312" w:cs="仿宋_GB2312" w:eastAsia="仿宋_GB2312"/>
          <w:sz w:val="28"/>
          <w:b/>
        </w:rPr>
        <w:t>陕西天沃工程项目管理有限公司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陕西天沃工程项目管理有限公司</w:t>
      </w:r>
      <w:r>
        <w:rPr>
          <w:rFonts w:ascii="仿宋_GB2312" w:hAnsi="仿宋_GB2312" w:cs="仿宋_GB2312" w:eastAsia="仿宋_GB2312"/>
        </w:rPr>
        <w:t>（以下简称“代理机构”）受</w:t>
      </w:r>
      <w:r>
        <w:rPr>
          <w:rFonts w:ascii="仿宋_GB2312" w:hAnsi="仿宋_GB2312" w:cs="仿宋_GB2312" w:eastAsia="仿宋_GB2312"/>
        </w:rPr>
        <w:t>铜川市城市管理执法局新耀分局</w:t>
      </w:r>
      <w:r>
        <w:rPr>
          <w:rFonts w:ascii="仿宋_GB2312" w:hAnsi="仿宋_GB2312" w:cs="仿宋_GB2312" w:eastAsia="仿宋_GB2312"/>
        </w:rPr>
        <w:t>委托，拟对</w:t>
      </w:r>
      <w:r>
        <w:rPr>
          <w:rFonts w:ascii="仿宋_GB2312" w:hAnsi="仿宋_GB2312" w:cs="仿宋_GB2312" w:eastAsia="仿宋_GB2312"/>
        </w:rPr>
        <w:t>2025年新区迎国庆氛围营造工程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TWZB2025-155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2025年新区迎国庆氛围营造工程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为喜迎中华人民共和国成立76周年，计划在市政府广场、阳光广场及新高速出入口摆放造型雕塑和草花；在长虹路、正阳路、朝阳路、华原西道、正大路路灯灯杆上悬挂国旗。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采购包1（2025年新区迎国庆氛围营造工程）：属于专门面向中小企业采购。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合法注册的法人或其他组织供应商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主要负责人）授权委托书及被授权人身份证明：法定代表人（主要负责人）委托代理人参加磋商时，应提供法定代表人（主要负责人）委托授权书；法定代表人（主要负责人）亲自参加磋商时，应提供法定代表人（主要负责人）身份证明</w:t>
      </w:r>
    </w:p>
    <w:p>
      <w:pPr>
        <w:pStyle w:val="null3"/>
      </w:pPr>
      <w:r>
        <w:rPr>
          <w:rFonts w:ascii="仿宋_GB2312" w:hAnsi="仿宋_GB2312" w:cs="仿宋_GB2312" w:eastAsia="仿宋_GB2312"/>
        </w:rPr>
        <w:t>3、供应商资质：供应商须具备市政公用工程总承包三级(含三级)及以上资质，并具有有效的安全生产许可证</w:t>
      </w:r>
    </w:p>
    <w:p>
      <w:pPr>
        <w:pStyle w:val="null3"/>
      </w:pPr>
      <w:r>
        <w:rPr>
          <w:rFonts w:ascii="仿宋_GB2312" w:hAnsi="仿宋_GB2312" w:cs="仿宋_GB2312" w:eastAsia="仿宋_GB2312"/>
        </w:rPr>
        <w:t>4、项目经理资质：拟派项目经理须具备市政公用工程专业二级(含二级)及以上注册建造师执业资格，并具有有效的安全生产考核合格证且未担任其他在施建设工程项目的项目经理（提供承诺书）</w:t>
      </w:r>
    </w:p>
    <w:p>
      <w:pPr>
        <w:pStyle w:val="null3"/>
      </w:pPr>
      <w:r>
        <w:rPr>
          <w:rFonts w:ascii="仿宋_GB2312" w:hAnsi="仿宋_GB2312" w:cs="仿宋_GB2312" w:eastAsia="仿宋_GB2312"/>
        </w:rPr>
        <w:t>5、设备和专业技术能力的说明及承诺：具备履行合同所必须的设备和专业技术能力的说明及承诺</w:t>
      </w:r>
    </w:p>
    <w:p>
      <w:pPr>
        <w:pStyle w:val="null3"/>
      </w:pPr>
      <w:r>
        <w:rPr>
          <w:rFonts w:ascii="仿宋_GB2312" w:hAnsi="仿宋_GB2312" w:cs="仿宋_GB2312" w:eastAsia="仿宋_GB2312"/>
        </w:rPr>
        <w:t>6、重大违法记录的声明：供应商在近三年经营活动中没有重大违法记录的声明</w:t>
      </w:r>
    </w:p>
    <w:p>
      <w:pPr>
        <w:pStyle w:val="null3"/>
      </w:pPr>
      <w:r>
        <w:rPr>
          <w:rFonts w:ascii="仿宋_GB2312" w:hAnsi="仿宋_GB2312" w:cs="仿宋_GB2312" w:eastAsia="仿宋_GB2312"/>
        </w:rPr>
        <w:t>7、财务状况报告（二选一）：财务状况报告（二选一）：①供应商提供2024年度经会计师事务所或审计机构审计的完整的财务审计报告（成立时间至提供响应文件截止时间不足一年的可提供成立后任意时段的资产负债表）；②在磋商截止时间前三个月内其开户银行出具的资信证明（附开户许可证或基本账户存款信息）</w:t>
      </w:r>
    </w:p>
    <w:p>
      <w:pPr>
        <w:pStyle w:val="null3"/>
      </w:pPr>
      <w:r>
        <w:rPr>
          <w:rFonts w:ascii="仿宋_GB2312" w:hAnsi="仿宋_GB2312" w:cs="仿宋_GB2312" w:eastAsia="仿宋_GB2312"/>
        </w:rPr>
        <w:t>8、税收缴纳证明：税收缴纳证明：供应商提供已缴纳的2025年1月至今至少一个月的纳税证明或完税证明（任意税种）；依法免税的单位应提供相关文件证明</w:t>
      </w:r>
    </w:p>
    <w:p>
      <w:pPr>
        <w:pStyle w:val="null3"/>
      </w:pPr>
      <w:r>
        <w:rPr>
          <w:rFonts w:ascii="仿宋_GB2312" w:hAnsi="仿宋_GB2312" w:cs="仿宋_GB2312" w:eastAsia="仿宋_GB2312"/>
        </w:rPr>
        <w:t>9、社会保障资金缴纳证明：社会保障资金缴纳证明：供应商提供已缴存的2025年1月至今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10、信誉：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11、非联合体承诺书：本项目不接受联合体磋商（提供非联合体承诺书）</w:t>
      </w:r>
    </w:p>
    <w:p>
      <w:pPr>
        <w:pStyle w:val="null3"/>
      </w:pPr>
      <w:r>
        <w:rPr>
          <w:rFonts w:ascii="仿宋_GB2312" w:hAnsi="仿宋_GB2312" w:cs="仿宋_GB2312" w:eastAsia="仿宋_GB2312"/>
        </w:rPr>
        <w:t>12、供应商企业关联关系说明：单位负责人为同一人或者存在控股、管理关系的不同单位不得同时投标（提供供应商企业关联关系说明）</w:t>
      </w:r>
    </w:p>
    <w:p>
      <w:pPr>
        <w:pStyle w:val="null3"/>
      </w:pPr>
      <w:r>
        <w:rPr>
          <w:rFonts w:ascii="仿宋_GB2312" w:hAnsi="仿宋_GB2312" w:cs="仿宋_GB2312" w:eastAsia="仿宋_GB2312"/>
        </w:rPr>
        <w:t>13、中小企业声明函：本项目专门面向中小企业采购（提供中小企业声明函），非中小企业单位（监狱企业、残疾人福利单位除外）不得参与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铜川市城市管理执法局新耀分局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铜川市新区长虹路9号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铜川市城市管理执法局新耀分局经办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0919-3182039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陕西天沃工程项目管理有限公司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西安市经济开发区凤城十一路与文景路十字西北角文景广场C座1202室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029-68539602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采购包1：949,513.00元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代理服务费收费标准：中标人在领取中标通知书时，向陕西天沃工程项目管理有限公司交纳招标代理服务费。服务费收费标准参照原《国家计委关于印发&lt;招标代理服务收费管理暂行办法&gt;的通知》 (计价格〔2002〕1980号)、《国家发展改革委关于降低部分建设项目收费标准规范收费行为等有关问题的通知》(发改价格〔2011〕534号)规定执行。 服务费账户信息： 户名：陕西天沃工程项目管理有限公司 账号：6105 0177 0045 0000 0371 开户行：中国建设银行股份有限公司西安凤城十二路支行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铜川市城市管理执法局新耀分局</w:t>
      </w:r>
      <w:r>
        <w:rPr>
          <w:rFonts w:ascii="仿宋_GB2312" w:hAnsi="仿宋_GB2312" w:cs="仿宋_GB2312" w:eastAsia="仿宋_GB2312"/>
        </w:rPr>
        <w:t>和</w:t>
      </w:r>
      <w:r>
        <w:rPr>
          <w:rFonts w:ascii="仿宋_GB2312" w:hAnsi="仿宋_GB2312" w:cs="仿宋_GB2312" w:eastAsia="仿宋_GB2312"/>
        </w:rPr>
        <w:t>陕西天沃工程项目管理有限公司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铜川市城市管理执法局新耀分局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陕西天沃工程项目管理有限公司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铜川市城市管理执法局新耀分局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陕西天沃工程项目管理有限公司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满足采购人及采购文件要求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联系电话：029-68539602</w:t>
      </w:r>
    </w:p>
    <w:p>
      <w:pPr>
        <w:pStyle w:val="null3"/>
      </w:pPr>
      <w:r>
        <w:rPr>
          <w:rFonts w:ascii="仿宋_GB2312" w:hAnsi="仿宋_GB2312" w:cs="仿宋_GB2312" w:eastAsia="仿宋_GB2312"/>
        </w:rPr>
        <w:t>地址：西安市经济开发区凤城十一路与文景路十字西北角文景广场C座1202室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949,513.00</w:t>
      </w:r>
    </w:p>
    <w:p>
      <w:pPr>
        <w:pStyle w:val="null3"/>
      </w:pPr>
      <w:r>
        <w:rPr>
          <w:rFonts w:ascii="仿宋_GB2312" w:hAnsi="仿宋_GB2312" w:cs="仿宋_GB2312" w:eastAsia="仿宋_GB2312"/>
        </w:rPr>
        <w:t>采购包最高限价（元）: 949,513.00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2025年新区迎国庆氛围营造工程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949,513.00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标的名称：2025年新区迎国庆氛围营造工程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left="420"/>
              <w:jc w:val="left"/>
            </w:pPr>
            <w:r>
              <w:rPr>
                <w:rFonts w:ascii="仿宋_GB2312" w:hAnsi="仿宋_GB2312" w:cs="仿宋_GB2312" w:eastAsia="仿宋_GB2312"/>
                <w:sz w:val="24"/>
              </w:rPr>
              <w:t>一、工程概况及范围：</w:t>
            </w:r>
          </w:p>
          <w:p>
            <w:pPr>
              <w:pStyle w:val="null3"/>
              <w:ind w:left="420"/>
              <w:jc w:val="left"/>
            </w:pPr>
            <w:r>
              <w:rPr>
                <w:rFonts w:ascii="仿宋_GB2312" w:hAnsi="仿宋_GB2312" w:cs="仿宋_GB2312" w:eastAsia="仿宋_GB2312"/>
                <w:sz w:val="24"/>
              </w:rPr>
              <w:t>项目名称：</w:t>
            </w:r>
            <w:r>
              <w:rPr>
                <w:rFonts w:ascii="仿宋_GB2312" w:hAnsi="仿宋_GB2312" w:cs="仿宋_GB2312" w:eastAsia="仿宋_GB2312"/>
                <w:sz w:val="24"/>
              </w:rPr>
              <w:t>2025年新区迎国庆氛围营造工程</w:t>
            </w:r>
          </w:p>
          <w:p>
            <w:pPr>
              <w:pStyle w:val="null3"/>
              <w:ind w:left="420"/>
              <w:jc w:val="left"/>
            </w:pPr>
            <w:r>
              <w:rPr>
                <w:rFonts w:ascii="仿宋_GB2312" w:hAnsi="仿宋_GB2312" w:cs="仿宋_GB2312" w:eastAsia="仿宋_GB2312"/>
                <w:sz w:val="24"/>
              </w:rPr>
              <w:t>地点：位于陕西省铜川市。</w:t>
            </w:r>
          </w:p>
          <w:p>
            <w:pPr>
              <w:pStyle w:val="null3"/>
              <w:ind w:left="225"/>
              <w:jc w:val="left"/>
            </w:pPr>
            <w:r>
              <w:rPr>
                <w:rFonts w:ascii="仿宋_GB2312" w:hAnsi="仿宋_GB2312" w:cs="仿宋_GB2312" w:eastAsia="仿宋_GB2312"/>
                <w:sz w:val="24"/>
              </w:rPr>
              <w:t>二、其他需要特殊说明其他说明：</w:t>
            </w:r>
          </w:p>
          <w:p>
            <w:pPr>
              <w:pStyle w:val="null3"/>
              <w:ind w:left="420"/>
              <w:jc w:val="left"/>
            </w:pPr>
            <w:r>
              <w:rPr>
                <w:rFonts w:ascii="仿宋_GB2312" w:hAnsi="仿宋_GB2312" w:cs="仿宋_GB2312" w:eastAsia="仿宋_GB2312"/>
                <w:sz w:val="24"/>
              </w:rPr>
              <w:t>1、计价软件：广联达版本号GBQ7.0（版本7.5000.23.1）</w:t>
            </w:r>
          </w:p>
          <w:p>
            <w:pPr>
              <w:pStyle w:val="null3"/>
              <w:ind w:left="420"/>
              <w:jc w:val="left"/>
            </w:pPr>
            <w:r>
              <w:rPr>
                <w:rFonts w:ascii="仿宋_GB2312" w:hAnsi="仿宋_GB2312" w:cs="仿宋_GB2312" w:eastAsia="仿宋_GB2312"/>
                <w:sz w:val="24"/>
              </w:rPr>
              <w:t>2、工程量清单</w:t>
            </w:r>
          </w:p>
          <w:p>
            <w:pPr>
              <w:pStyle w:val="null3"/>
              <w:ind w:firstLine="240"/>
              <w:jc w:val="both"/>
            </w:pPr>
            <w:r>
              <w:rPr>
                <w:rFonts w:ascii="仿宋_GB2312" w:hAnsi="仿宋_GB2312" w:cs="仿宋_GB2312" w:eastAsia="仿宋_GB2312"/>
                <w:sz w:val="24"/>
              </w:rPr>
              <w:t>三</w:t>
            </w:r>
            <w:r>
              <w:rPr>
                <w:rFonts w:ascii="仿宋_GB2312" w:hAnsi="仿宋_GB2312" w:cs="仿宋_GB2312" w:eastAsia="仿宋_GB2312"/>
                <w:sz w:val="24"/>
              </w:rPr>
              <w:t>、商务要求</w:t>
            </w:r>
          </w:p>
          <w:p>
            <w:pPr>
              <w:pStyle w:val="null3"/>
              <w:ind w:firstLine="480"/>
              <w:jc w:val="both"/>
            </w:pPr>
            <w:r>
              <w:rPr>
                <w:rFonts w:ascii="仿宋_GB2312" w:hAnsi="仿宋_GB2312" w:cs="仿宋_GB2312" w:eastAsia="仿宋_GB2312"/>
                <w:sz w:val="24"/>
              </w:rPr>
              <w:t>1、项目地点：采购人指定地点。</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、项目工期：自合同签订之日起</w:t>
            </w:r>
            <w:r>
              <w:rPr>
                <w:rFonts w:ascii="仿宋_GB2312" w:hAnsi="仿宋_GB2312" w:cs="仿宋_GB2312" w:eastAsia="仿宋_GB2312"/>
                <w:sz w:val="24"/>
              </w:rPr>
              <w:t>7个日历日。</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、质量目标：合格（符合国家有关规范和相关政策）</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、付款方式：合同签订后，达到付款条件起</w:t>
            </w:r>
            <w:r>
              <w:rPr>
                <w:rFonts w:ascii="仿宋_GB2312" w:hAnsi="仿宋_GB2312" w:cs="仿宋_GB2312" w:eastAsia="仿宋_GB2312"/>
                <w:sz w:val="24"/>
              </w:rPr>
              <w:t>10日内，支付合同总金额的20%，待工程完成并通过竣工验收后达到付款条件起10日内，支付至合同总金额的90%，在建设单位审核完毕施工单位的结算资料及财政决算评审后起10日内，支付至审计价款的100%。注：乙方提供收款账户，见票付款。</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、验收标准：必须严格按照有关施工和验收规范进行施工，符合施工质量验收标准以及国家、省、市、行业及地方标准等相关规范要求。</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六、供应商资格证明文件.docx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六、供应商资格证明文件.docx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供应商为合法注册的法人或其他组织供应商具有独立承担民事责任能力的法人、其他组织或自然人，并出具合法有效的营业执照或事业单位法人证书等国家规定的相关证明，自然人参与的提供其身份证明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法定代表人（主要负责人）授权委托书及被授权人身份证明</w:t>
            </w:r>
          </w:p>
        </w:tc>
        <w:tc>
          <w:tcPr>
            <w:tcW w:type="dxa" w:w="3322"/>
          </w:tcPr>
          <w:p>
            <w:pPr>
              <w:pStyle w:val="null3"/>
            </w:pPr>
            <w:r>
              <w:rPr>
                <w:rFonts w:ascii="仿宋_GB2312" w:hAnsi="仿宋_GB2312" w:cs="仿宋_GB2312" w:eastAsia="仿宋_GB2312"/>
              </w:rPr>
              <w:t>法定代表人（主要负责人）委托代理人参加磋商时，应提供法定代表人（主要负责人）委托授权书；法定代表人（主要负责人）亲自参加磋商时，应提供法定代表人（主要负责人）身份证明</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供应商须具备市政公用工程总承包三级(含三级)及以上资质，并具有有效的安全生产许可证</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拟派项目经理须具备市政公用工程专业二级(含二级)及以上注册建造师执业资格，并具有有效的安全生产考核合格证且未担任其他在施建设工程项目的项目经理（提供承诺书）</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设备和专业技术能力的说明及承诺</w:t>
            </w:r>
          </w:p>
        </w:tc>
        <w:tc>
          <w:tcPr>
            <w:tcW w:type="dxa" w:w="3322"/>
          </w:tcPr>
          <w:p>
            <w:pPr>
              <w:pStyle w:val="null3"/>
            </w:pPr>
            <w:r>
              <w:rPr>
                <w:rFonts w:ascii="仿宋_GB2312" w:hAnsi="仿宋_GB2312" w:cs="仿宋_GB2312" w:eastAsia="仿宋_GB2312"/>
              </w:rPr>
              <w:t>具备履行合同所必须的设备和专业技术能力的说明及承诺</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重大违法记录的声明</w:t>
            </w:r>
          </w:p>
        </w:tc>
        <w:tc>
          <w:tcPr>
            <w:tcW w:type="dxa" w:w="3322"/>
          </w:tcPr>
          <w:p>
            <w:pPr>
              <w:pStyle w:val="null3"/>
            </w:pPr>
            <w:r>
              <w:rPr>
                <w:rFonts w:ascii="仿宋_GB2312" w:hAnsi="仿宋_GB2312" w:cs="仿宋_GB2312" w:eastAsia="仿宋_GB2312"/>
              </w:rPr>
              <w:t>供应商在近三年经营活动中没有重大违法记录的声明</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财务状况报告（二选一）</w:t>
            </w:r>
          </w:p>
        </w:tc>
        <w:tc>
          <w:tcPr>
            <w:tcW w:type="dxa" w:w="3322"/>
          </w:tcPr>
          <w:p>
            <w:pPr>
              <w:pStyle w:val="null3"/>
            </w:pPr>
            <w:r>
              <w:rPr>
                <w:rFonts w:ascii="仿宋_GB2312" w:hAnsi="仿宋_GB2312" w:cs="仿宋_GB2312" w:eastAsia="仿宋_GB2312"/>
              </w:rPr>
              <w:t>财务状况报告（二选一）：①供应商提供2024年度经会计师事务所或审计机构审计的完整的财务审计报告（成立时间至提供响应文件截止时间不足一年的可提供成立后任意时段的资产负债表）；②在磋商截止时间前三个月内其开户银行出具的资信证明（附开户许可证或基本账户存款信息）</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税收缴纳证明：供应商提供已缴纳的2025年1月至今至少一个月的纳税证明或完税证明（任意税种）；依法免税的单位应提供相关文件证明</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社会保障资金缴纳证明：供应商提供已缴存的2025年1月至今至少一个月的社会保障资金缴存单据或社保机构开具的社会保险参保缴费情况证明，依法不需要缴纳社会保障资金的单位应提供相关证明材料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本项目不接受联合体磋商（提供非联合体承诺书）</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供应商企业关联关系说明</w:t>
            </w:r>
          </w:p>
        </w:tc>
        <w:tc>
          <w:tcPr>
            <w:tcW w:type="dxa" w:w="3322"/>
          </w:tcPr>
          <w:p>
            <w:pPr>
              <w:pStyle w:val="null3"/>
            </w:pPr>
            <w:r>
              <w:rPr>
                <w:rFonts w:ascii="仿宋_GB2312" w:hAnsi="仿宋_GB2312" w:cs="仿宋_GB2312" w:eastAsia="仿宋_GB2312"/>
              </w:rPr>
              <w:t>单位负责人为同一人或者存在控股、管理关系的不同单位不得同时投标（提供供应商企业关联关系说明）</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本项目专门面向中小企业采购（提供中小企业声明函），非中小企业单位（监狱企业、残疾人福利单位除外）不得参与</w:t>
            </w:r>
          </w:p>
        </w:tc>
        <w:tc>
          <w:tcPr>
            <w:tcW w:type="dxa" w:w="1661"/>
          </w:tcPr>
          <w:p>
            <w:pPr>
              <w:pStyle w:val="null3"/>
            </w:pPr>
            <w:r>
              <w:rPr>
                <w:rFonts w:ascii="仿宋_GB2312" w:hAnsi="仿宋_GB2312" w:cs="仿宋_GB2312" w:eastAsia="仿宋_GB2312"/>
              </w:rPr>
              <w:t>中小企业声明函 残疾人福利性单位声明函 六、供应商资格证明文件.docx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一、磋商响应函.docx 报价函 二、第一次磋商报价表.docx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供应商名称与获取磋商文件的单位名称是否一致的</w:t>
            </w:r>
          </w:p>
        </w:tc>
        <w:tc>
          <w:tcPr>
            <w:tcW w:type="dxa" w:w="3322"/>
          </w:tcPr>
          <w:p>
            <w:pPr>
              <w:pStyle w:val="null3"/>
            </w:pPr>
            <w:r>
              <w:rPr>
                <w:rFonts w:ascii="仿宋_GB2312" w:hAnsi="仿宋_GB2312" w:cs="仿宋_GB2312" w:eastAsia="仿宋_GB2312"/>
              </w:rPr>
              <w:t>供应商名称与获取磋商文件的单位名称一致</w:t>
            </w:r>
          </w:p>
        </w:tc>
        <w:tc>
          <w:tcPr>
            <w:tcW w:type="dxa" w:w="1661"/>
          </w:tcPr>
          <w:p>
            <w:pPr>
              <w:pStyle w:val="null3"/>
            </w:pPr>
            <w:r>
              <w:rPr>
                <w:rFonts w:ascii="仿宋_GB2312" w:hAnsi="仿宋_GB2312" w:cs="仿宋_GB2312" w:eastAsia="仿宋_GB2312"/>
              </w:rPr>
              <w:t>响应文件封面 一、磋商响应函.docx 二、第一次磋商报价表.docx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磋商响应文件是否按照磋商文件规定要求签署、盖章的</w:t>
            </w:r>
          </w:p>
        </w:tc>
        <w:tc>
          <w:tcPr>
            <w:tcW w:type="dxa" w:w="3322"/>
          </w:tcPr>
          <w:p>
            <w:pPr>
              <w:pStyle w:val="null3"/>
            </w:pPr>
            <w:r>
              <w:rPr>
                <w:rFonts w:ascii="仿宋_GB2312" w:hAnsi="仿宋_GB2312" w:cs="仿宋_GB2312" w:eastAsia="仿宋_GB2312"/>
              </w:rPr>
              <w:t>磋商响应文件按照磋商文件规定要求签署、盖章的</w:t>
            </w:r>
          </w:p>
        </w:tc>
        <w:tc>
          <w:tcPr>
            <w:tcW w:type="dxa" w:w="1661"/>
          </w:tcPr>
          <w:p>
            <w:pPr>
              <w:pStyle w:val="null3"/>
            </w:pPr>
            <w:r>
              <w:rPr>
                <w:rFonts w:ascii="仿宋_GB2312" w:hAnsi="仿宋_GB2312" w:cs="仿宋_GB2312" w:eastAsia="仿宋_GB2312"/>
              </w:rPr>
              <w:t>响应文件封面 已标价工程量清单 一、磋商响应函.docx 二、第一次磋商报价表.docx 五、商务偏离表.docx 响应函 七、其他资料.docx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响应有效期是否满足采购文件要求的</w:t>
            </w:r>
          </w:p>
        </w:tc>
        <w:tc>
          <w:tcPr>
            <w:tcW w:type="dxa" w:w="3322"/>
          </w:tcPr>
          <w:p>
            <w:pPr>
              <w:pStyle w:val="null3"/>
            </w:pPr>
            <w:r>
              <w:rPr>
                <w:rFonts w:ascii="仿宋_GB2312" w:hAnsi="仿宋_GB2312" w:cs="仿宋_GB2312" w:eastAsia="仿宋_GB2312"/>
              </w:rPr>
              <w:t>响应有效期满足采购文件要求的</w:t>
            </w:r>
          </w:p>
        </w:tc>
        <w:tc>
          <w:tcPr>
            <w:tcW w:type="dxa" w:w="1661"/>
          </w:tcPr>
          <w:p>
            <w:pPr>
              <w:pStyle w:val="null3"/>
            </w:pPr>
            <w:r>
              <w:rPr>
                <w:rFonts w:ascii="仿宋_GB2312" w:hAnsi="仿宋_GB2312" w:cs="仿宋_GB2312" w:eastAsia="仿宋_GB2312"/>
              </w:rPr>
              <w:t>响应文件封面 一、磋商响应函.docx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报价是否超过磋商文件中规定的预算金额或者最高限价的</w:t>
            </w:r>
          </w:p>
        </w:tc>
        <w:tc>
          <w:tcPr>
            <w:tcW w:type="dxa" w:w="3322"/>
          </w:tcPr>
          <w:p>
            <w:pPr>
              <w:pStyle w:val="null3"/>
            </w:pPr>
            <w:r>
              <w:rPr>
                <w:rFonts w:ascii="仿宋_GB2312" w:hAnsi="仿宋_GB2312" w:cs="仿宋_GB2312" w:eastAsia="仿宋_GB2312"/>
              </w:rPr>
              <w:t>报价未超过磋商文件中规定的预算金额或者最高限价的</w:t>
            </w:r>
          </w:p>
        </w:tc>
        <w:tc>
          <w:tcPr>
            <w:tcW w:type="dxa" w:w="1661"/>
          </w:tcPr>
          <w:p>
            <w:pPr>
              <w:pStyle w:val="null3"/>
            </w:pPr>
            <w:r>
              <w:rPr>
                <w:rFonts w:ascii="仿宋_GB2312" w:hAnsi="仿宋_GB2312" w:cs="仿宋_GB2312" w:eastAsia="仿宋_GB2312"/>
              </w:rPr>
              <w:t>响应文件封面 已标价工程量清单 一、磋商响应函.docx 二、第一次磋商报价表.docx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磋商响应文件是否出现重大负偏离的</w:t>
            </w:r>
          </w:p>
        </w:tc>
        <w:tc>
          <w:tcPr>
            <w:tcW w:type="dxa" w:w="3322"/>
          </w:tcPr>
          <w:p>
            <w:pPr>
              <w:pStyle w:val="null3"/>
            </w:pPr>
            <w:r>
              <w:rPr>
                <w:rFonts w:ascii="仿宋_GB2312" w:hAnsi="仿宋_GB2312" w:cs="仿宋_GB2312" w:eastAsia="仿宋_GB2312"/>
              </w:rPr>
              <w:t>磋商响应文件未出现重大负偏离的</w:t>
            </w:r>
          </w:p>
        </w:tc>
        <w:tc>
          <w:tcPr>
            <w:tcW w:type="dxa" w:w="1661"/>
          </w:tcPr>
          <w:p>
            <w:pPr>
              <w:pStyle w:val="null3"/>
            </w:pPr>
            <w:r>
              <w:rPr>
                <w:rFonts w:ascii="仿宋_GB2312" w:hAnsi="仿宋_GB2312" w:cs="仿宋_GB2312" w:eastAsia="仿宋_GB2312"/>
              </w:rPr>
              <w:t>响应文件封面 五、商务偏离表.docx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施工技术及组织方案</w:t>
            </w:r>
          </w:p>
        </w:tc>
        <w:tc>
          <w:tcPr>
            <w:tcW w:type="dxa" w:w="2492"/>
          </w:tcPr>
          <w:p>
            <w:pPr>
              <w:pStyle w:val="null3"/>
            </w:pPr>
            <w:r>
              <w:rPr>
                <w:rFonts w:ascii="仿宋_GB2312" w:hAnsi="仿宋_GB2312" w:cs="仿宋_GB2312" w:eastAsia="仿宋_GB2312"/>
              </w:rPr>
              <w:t>根据磋商文件要求制定完善、具体、可行的施工技术服务方案根据供应商对项目建设、实施等方面内容，由评委按情况分档赋分： 1.内容编制合理，可行，清晰，准确完整，关键点控制措施得力，可操作性强，保证措施可靠：10-15分。 2.方案内容满足采购文件要求，方案内容详细全面，具有可行性：5-10分。 3.方案内容满足采购文件要求，方案内容详细相对全面，相对可行：0-5分。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四、磋商方案说明.docx</w:t>
            </w:r>
          </w:p>
        </w:tc>
      </w:tr>
      <w:tr>
        <w:tc>
          <w:tcPr>
            <w:tcW w:type="dxa" w:w="831"/>
            <w:vMerge/>
          </w:tcP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根据供应商对项目施工质量保证措施，由专家根据情况赋分。 1.内容全面完整，关键地点、工序、环节措施得力，责任人具体：6-8分 2.内容全面完整，满足项目要求：3-6分。 3.内容不全面：0-3分。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四、磋商方案说明.docx</w:t>
            </w:r>
          </w:p>
        </w:tc>
      </w:tr>
      <w:tr>
        <w:tc>
          <w:tcPr>
            <w:tcW w:type="dxa" w:w="831"/>
            <w:vMerge/>
          </w:tcPr>
          <w:p/>
        </w:tc>
        <w:tc>
          <w:tcPr>
            <w:tcW w:type="dxa" w:w="1661"/>
          </w:tcPr>
          <w:p>
            <w:pPr>
              <w:pStyle w:val="null3"/>
            </w:pPr>
            <w:r>
              <w:rPr>
                <w:rFonts w:ascii="仿宋_GB2312" w:hAnsi="仿宋_GB2312" w:cs="仿宋_GB2312" w:eastAsia="仿宋_GB2312"/>
              </w:rPr>
              <w:t>安全生产技术组织措施</w:t>
            </w:r>
          </w:p>
        </w:tc>
        <w:tc>
          <w:tcPr>
            <w:tcW w:type="dxa" w:w="2492"/>
          </w:tcPr>
          <w:p>
            <w:pPr>
              <w:pStyle w:val="null3"/>
            </w:pPr>
            <w:r>
              <w:rPr>
                <w:rFonts w:ascii="仿宋_GB2312" w:hAnsi="仿宋_GB2312" w:cs="仿宋_GB2312" w:eastAsia="仿宋_GB2312"/>
              </w:rPr>
              <w:t>确保安全生产技术组织措施，由评委按情况分档赋分： 1.措施编制合理，可行，清晰，准确完整，关键点控制措施得力，可操作性强，保证措施可靠：6－8分。2.措施满足工程实施要求，措施内容详细全面，具有可行性：3－6分。 3.措施相对可行：0-3分。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四、磋商方案说明.docx</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文明施工及环境保护措施，由专家根据情况赋分。 1.文明施工制度完善，环境保护制度完整，责任人具体：6-8分。 2.内容全面完整，满足项目要求：3-6分。 3.内容不全面：0-3分。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四、磋商方案说明.docx</w:t>
            </w:r>
          </w:p>
        </w:tc>
      </w:tr>
      <w:tr>
        <w:tc>
          <w:tcPr>
            <w:tcW w:type="dxa" w:w="831"/>
            <w:vMerge/>
          </w:tcPr>
          <w:p/>
        </w:tc>
        <w:tc>
          <w:tcPr>
            <w:tcW w:type="dxa" w:w="1661"/>
          </w:tcPr>
          <w:p>
            <w:pPr>
              <w:pStyle w:val="null3"/>
            </w:pPr>
            <w:r>
              <w:rPr>
                <w:rFonts w:ascii="仿宋_GB2312" w:hAnsi="仿宋_GB2312" w:cs="仿宋_GB2312" w:eastAsia="仿宋_GB2312"/>
              </w:rPr>
              <w:t>工期的技术组织措施</w:t>
            </w:r>
          </w:p>
        </w:tc>
        <w:tc>
          <w:tcPr>
            <w:tcW w:type="dxa" w:w="2492"/>
          </w:tcPr>
          <w:p>
            <w:pPr>
              <w:pStyle w:val="null3"/>
            </w:pPr>
            <w:r>
              <w:rPr>
                <w:rFonts w:ascii="仿宋_GB2312" w:hAnsi="仿宋_GB2312" w:cs="仿宋_GB2312" w:eastAsia="仿宋_GB2312"/>
              </w:rPr>
              <w:t>确保工期的技术组织措施，由评委按情况分档赋分： 1.措施编制合理，可行，清晰，准确完整，关键点控制措施得力，可操作性强，保证措施可靠：6－8分。 2.措施满足工程实施要求，措施内容详细全面，具有可行性：3－6分。3.措施相对可行：0-3分。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四、磋商方案说明.docx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针对本项目在施工过程突发事件，制定完善、具体、可行的应急预案，按照响应情况进行横向比较，分档评分： 1.应急预案实用，经济，切实可行：6-8分； 2.应急预案实用性、经济性一般，可行性一般：3-6分； 3.未提供应急预案或应急预案可行性差：0-3分。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四、磋商方案说明.docx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提供近三年2022年1月1日至今类似项目业绩，响应文件中附有其业绩证明材料，业绩合同加盖供应商红色公章的复印件为依据，提供一个计1分，满分3分。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七、其他资料.docx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拟投入本项目的团队人员配备情况进行赋分，提供拟派的人员配备清单（包含成员姓名、年龄、岗位、工作经验等）。1、供应商拟投入本项目的团队人员满足本项目实际需求，岗位职责分工明确、人员结构安排合理、工作经验丰富，计4-6分；2、项目团队人员职责分工较明确、结构安排基本合理，工作经验较丰富，计3-4分；3、项目团队人员职责分工及结构安排基本明确，有一定的工作经验，计2-3分；4、项目团队人员职责分工及结构安排混乱，工作经验欠缺，计1-2分；5、未提供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四、磋商方案说明.docx</w:t>
            </w:r>
          </w:p>
        </w:tc>
      </w:tr>
      <w:tr>
        <w:tc>
          <w:tcPr>
            <w:tcW w:type="dxa" w:w="831"/>
            <w:vMerge/>
          </w:tcPr>
          <w:p/>
        </w:tc>
        <w:tc>
          <w:tcPr>
            <w:tcW w:type="dxa" w:w="1661"/>
          </w:tcPr>
          <w:p>
            <w:pPr>
              <w:pStyle w:val="null3"/>
            </w:pPr>
            <w:r>
              <w:rPr>
                <w:rFonts w:ascii="仿宋_GB2312" w:hAnsi="仿宋_GB2312" w:cs="仿宋_GB2312" w:eastAsia="仿宋_GB2312"/>
              </w:rPr>
              <w:t>主要工具及设备材料</w:t>
            </w:r>
          </w:p>
        </w:tc>
        <w:tc>
          <w:tcPr>
            <w:tcW w:type="dxa" w:w="2492"/>
          </w:tcPr>
          <w:p>
            <w:pPr>
              <w:pStyle w:val="null3"/>
            </w:pPr>
            <w:r>
              <w:rPr>
                <w:rFonts w:ascii="仿宋_GB2312" w:hAnsi="仿宋_GB2312" w:cs="仿宋_GB2312" w:eastAsia="仿宋_GB2312"/>
              </w:rPr>
              <w:t>供应商应根据本项目实际需求提供拟投入主要工具及设备材料配置。1、拟投入主要工具及设备材料配置齐全，符合本项目实际需求，相关证明材料齐全，计4-6分；2、主要工具及设备材料配置基本齐全，基本符合本项目实际需求，相关证明材料基本齐全，计3-4分；3、主要工具及设备材料配置齐全程度一般，部分符合本项目需求，相关证明材料不足，计（2-3分；4、主要工具及设备材料配置不齐全，不符合本项目实际需求，无相关证明材料，计1-2分；5、未提供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四、磋商方案说明.docx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满足磋商文件实质性要求且最终报价最低的供应商的价格为磋商基准价，其价格分为满分30分。 磋商报价得分=（磋商基准价/最终磋商报价）×30的公式计算得分计算分数时四舍五入取小数点后两位。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详见附件：一、磋商响应函.docx</w:t>
      </w:r>
    </w:p>
    <w:p>
      <w:pPr>
        <w:pStyle w:val="null3"/>
        <w:ind w:firstLine="960"/>
      </w:pPr>
      <w:r>
        <w:rPr>
          <w:rFonts w:ascii="仿宋_GB2312" w:hAnsi="仿宋_GB2312" w:cs="仿宋_GB2312" w:eastAsia="仿宋_GB2312"/>
        </w:rPr>
        <w:t>详见附件：二、第一次磋商报价表.docx</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详见附件：四、磋商方案说明.docx</w:t>
      </w:r>
    </w:p>
    <w:p>
      <w:pPr>
        <w:pStyle w:val="null3"/>
        <w:ind w:firstLine="960"/>
      </w:pPr>
      <w:r>
        <w:rPr>
          <w:rFonts w:ascii="仿宋_GB2312" w:hAnsi="仿宋_GB2312" w:cs="仿宋_GB2312" w:eastAsia="仿宋_GB2312"/>
        </w:rPr>
        <w:t>详见附件：五、商务偏离表.docx</w:t>
      </w:r>
    </w:p>
    <w:p>
      <w:pPr>
        <w:pStyle w:val="null3"/>
        <w:ind w:firstLine="960"/>
      </w:pPr>
      <w:r>
        <w:rPr>
          <w:rFonts w:ascii="仿宋_GB2312" w:hAnsi="仿宋_GB2312" w:cs="仿宋_GB2312" w:eastAsia="仿宋_GB2312"/>
        </w:rPr>
        <w:t>详见附件：六、供应商资格证明文件.docx</w:t>
      </w:r>
    </w:p>
    <w:p>
      <w:pPr>
        <w:pStyle w:val="null3"/>
        <w:ind w:firstLine="960"/>
      </w:pPr>
      <w:r>
        <w:rPr>
          <w:rFonts w:ascii="仿宋_GB2312" w:hAnsi="仿宋_GB2312" w:cs="仿宋_GB2312" w:eastAsia="仿宋_GB2312"/>
        </w:rPr>
        <w:t>详见附件：七、其他资料.docx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